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方正小标宋简体" w:cs="Times New Roman"/>
          <w:spacing w:val="-4"/>
          <w:sz w:val="44"/>
          <w:lang w:val="en-US" w:eastAsia="zh-CN"/>
        </w:rPr>
      </w:pPr>
      <w:r>
        <w:rPr>
          <w:rFonts w:hint="eastAsia" w:ascii="Times New Roman" w:hAnsi="Times New Roman" w:eastAsia="方正小标宋简体" w:cs="Times New Roman"/>
          <w:spacing w:val="-4"/>
          <w:sz w:val="44"/>
          <w:lang w:val="en-US" w:eastAsia="zh-CN"/>
        </w:rPr>
        <w:t xml:space="preserve">  </w:t>
      </w:r>
    </w:p>
    <w:p>
      <w:pPr>
        <w:rPr>
          <w:rFonts w:hint="eastAsia" w:ascii="Times New Roman" w:hAnsi="Times New Roman" w:eastAsia="方正小标宋简体" w:cs="Times New Roman"/>
          <w:spacing w:val="-4"/>
          <w:sz w:val="44"/>
          <w:lang w:val="en-US" w:eastAsia="zh-CN"/>
        </w:rPr>
      </w:pPr>
    </w:p>
    <w:p>
      <w:pPr>
        <w:keepNext w:val="0"/>
        <w:keepLines w:val="0"/>
        <w:pageBreakBefore w:val="0"/>
        <w:widowControl w:val="0"/>
        <w:tabs>
          <w:tab w:val="left" w:pos="0"/>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中南高科</w:t>
      </w:r>
      <w:r>
        <w:rPr>
          <w:rFonts w:hint="eastAsia" w:ascii="微软雅黑" w:hAnsi="微软雅黑" w:eastAsia="微软雅黑" w:cs="微软雅黑"/>
          <w:sz w:val="44"/>
          <w:szCs w:val="44"/>
          <w:lang w:val="en-US" w:eastAsia="zh-CN"/>
        </w:rPr>
        <w:t>•</w:t>
      </w:r>
      <w:r>
        <w:rPr>
          <w:rFonts w:hint="eastAsia" w:ascii="方正小标宋简体" w:hAnsi="方正小标宋简体" w:eastAsia="方正小标宋简体" w:cs="方正小标宋简体"/>
          <w:sz w:val="44"/>
          <w:szCs w:val="44"/>
          <w:lang w:val="en-US" w:eastAsia="zh-CN"/>
        </w:rPr>
        <w:t>晋中通用设备智造未来城产业园项目地块范围内建筑垃圾、水渠及鱼塘清淤和回填工程支出</w:t>
      </w:r>
      <w:r>
        <w:rPr>
          <w:rFonts w:hint="eastAsia" w:ascii="方正小标宋简体" w:hAnsi="方正小标宋简体" w:eastAsia="方正小标宋简体" w:cs="方正小标宋简体"/>
          <w:sz w:val="44"/>
          <w:szCs w:val="44"/>
          <w:lang w:eastAsia="zh-CN"/>
        </w:rPr>
        <w:t>绩效评价</w:t>
      </w:r>
      <w:r>
        <w:rPr>
          <w:rFonts w:hint="eastAsia" w:ascii="方正小标宋简体" w:hAnsi="方正小标宋简体" w:eastAsia="方正小标宋简体" w:cs="方正小标宋简体"/>
          <w:sz w:val="44"/>
          <w:szCs w:val="44"/>
          <w:lang w:val="en-US" w:eastAsia="zh-CN"/>
        </w:rPr>
        <w:t>报告</w:t>
      </w:r>
    </w:p>
    <w:p>
      <w:pPr>
        <w:spacing w:line="640" w:lineRule="atLeast"/>
        <w:ind w:left="720" w:hanging="723" w:hangingChars="150"/>
        <w:rPr>
          <w:rFonts w:ascii="方正小标宋简体" w:hAnsi="宋体" w:eastAsia="方正小标宋简体" w:cs="方正小标宋简体"/>
          <w:b/>
          <w:bCs/>
          <w:sz w:val="48"/>
          <w:szCs w:val="48"/>
        </w:rPr>
      </w:pPr>
      <w:r>
        <w:rPr>
          <w:rFonts w:ascii="方正小标宋简体" w:hAnsi="宋体" w:eastAsia="方正小标宋简体" w:cs="方正小标宋简体"/>
          <w:b/>
          <w:bCs/>
          <w:sz w:val="48"/>
          <w:szCs w:val="48"/>
        </w:rPr>
        <w:t xml:space="preserve">             </w:t>
      </w:r>
    </w:p>
    <w:p>
      <w:pPr>
        <w:spacing w:line="640" w:lineRule="atLeast"/>
        <w:ind w:firstLine="880"/>
        <w:jc w:val="center"/>
        <w:rPr>
          <w:rFonts w:cs="Times New Roman"/>
        </w:rPr>
      </w:pPr>
    </w:p>
    <w:p>
      <w:pPr>
        <w:pStyle w:val="12"/>
      </w:pPr>
    </w:p>
    <w:p>
      <w:pPr>
        <w:spacing w:line="640" w:lineRule="atLeast"/>
        <w:rPr>
          <w:rFonts w:cs="Times New Roman"/>
        </w:rPr>
      </w:pPr>
    </w:p>
    <w:p>
      <w:pPr>
        <w:rPr>
          <w:rFonts w:cs="Times New Roman"/>
        </w:rPr>
      </w:pPr>
    </w:p>
    <w:p>
      <w:pPr>
        <w:pStyle w:val="12"/>
      </w:pPr>
    </w:p>
    <w:p/>
    <w:p>
      <w:pPr>
        <w:pStyle w:val="12"/>
        <w:rPr>
          <w:rFonts w:cs="Times New Roman"/>
        </w:rPr>
      </w:pPr>
    </w:p>
    <w:p>
      <w:pPr>
        <w:spacing w:line="640" w:lineRule="atLeast"/>
        <w:rPr>
          <w:rFonts w:ascii="方正小标宋简体" w:hAnsi="宋体" w:eastAsia="方正小标宋简体" w:cs="Times New Roman"/>
          <w:sz w:val="32"/>
          <w:szCs w:val="32"/>
        </w:rPr>
      </w:pPr>
    </w:p>
    <w:p>
      <w:pPr>
        <w:keepNext w:val="0"/>
        <w:keepLines w:val="0"/>
        <w:pageBreakBefore w:val="0"/>
        <w:kinsoku/>
        <w:wordWrap/>
        <w:overflowPunct/>
        <w:topLinePunct w:val="0"/>
        <w:autoSpaceDE w:val="0"/>
        <w:autoSpaceDN w:val="0"/>
        <w:bidi w:val="0"/>
        <w:adjustRightInd/>
        <w:snapToGrid/>
        <w:spacing w:line="640" w:lineRule="exact"/>
        <w:ind w:left="1600" w:hanging="1600" w:hangingChars="500"/>
        <w:textAlignment w:val="auto"/>
        <w:rPr>
          <w:rFonts w:hint="eastAsia" w:ascii="Times New Roman" w:hAnsi="Times New Roman" w:eastAsia="方正小标宋简体" w:cs="Times New Roman"/>
          <w:bCs/>
          <w:sz w:val="32"/>
          <w:szCs w:val="32"/>
          <w:lang w:val="en-US" w:eastAsia="zh-CN"/>
        </w:rPr>
      </w:pPr>
      <w:r>
        <w:rPr>
          <w:rFonts w:hint="eastAsia" w:ascii="Times New Roman" w:hAnsi="Times New Roman" w:eastAsia="方正小标宋简体" w:cs="Times New Roman"/>
          <w:bCs/>
          <w:sz w:val="32"/>
          <w:szCs w:val="32"/>
        </w:rPr>
        <w:t>主管部门：</w:t>
      </w:r>
      <w:r>
        <w:rPr>
          <w:rFonts w:hint="eastAsia" w:ascii="Times New Roman" w:hAnsi="Times New Roman" w:eastAsia="方正小标宋简体" w:cs="Times New Roman"/>
          <w:bCs/>
          <w:sz w:val="32"/>
          <w:szCs w:val="32"/>
          <w:lang w:val="en-US" w:eastAsia="zh-CN"/>
        </w:rPr>
        <w:t>山西省综改示范区晋中开发区管理委员会园区建设管理部、山西科技创新城晋中区事业服务中心</w:t>
      </w:r>
    </w:p>
    <w:p>
      <w:pPr>
        <w:keepNext w:val="0"/>
        <w:keepLines w:val="0"/>
        <w:pageBreakBefore w:val="0"/>
        <w:kinsoku/>
        <w:wordWrap/>
        <w:overflowPunct/>
        <w:topLinePunct w:val="0"/>
        <w:autoSpaceDE w:val="0"/>
        <w:autoSpaceDN w:val="0"/>
        <w:bidi w:val="0"/>
        <w:adjustRightInd/>
        <w:snapToGrid/>
        <w:spacing w:line="640" w:lineRule="exact"/>
        <w:ind w:left="0"/>
        <w:textAlignment w:val="auto"/>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实施单位：</w:t>
      </w:r>
      <w:r>
        <w:rPr>
          <w:rFonts w:hint="eastAsia" w:ascii="Times New Roman" w:hAnsi="Times New Roman" w:eastAsia="方正小标宋简体" w:cs="Times New Roman"/>
          <w:bCs/>
          <w:sz w:val="32"/>
          <w:szCs w:val="32"/>
          <w:lang w:val="en-US" w:eastAsia="zh-CN"/>
        </w:rPr>
        <w:t>晋中市中南高科实业有限公司</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委托单位：</w:t>
      </w:r>
      <w:r>
        <w:rPr>
          <w:rFonts w:hint="eastAsia" w:ascii="方正小标宋简体" w:hAnsi="方正小标宋简体" w:eastAsia="方正小标宋简体" w:cs="方正小标宋简体"/>
          <w:sz w:val="32"/>
          <w:szCs w:val="32"/>
          <w:lang w:val="en-US" w:eastAsia="zh-CN"/>
        </w:rPr>
        <w:t>山西转型综合改革示范区晋中开发区财政局</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_GBK" w:hAnsi="方正小标宋_GBK" w:eastAsia="方正小标宋_GBK" w:cs="方正小标宋_GBK"/>
          <w:sz w:val="32"/>
          <w:szCs w:val="32"/>
        </w:rPr>
      </w:pPr>
      <w:r>
        <w:rPr>
          <w:rFonts w:hint="eastAsia" w:ascii="方正小标宋简体" w:hAnsi="方正小标宋简体" w:eastAsia="方正小标宋简体" w:cs="方正小标宋简体"/>
          <w:sz w:val="32"/>
          <w:szCs w:val="32"/>
        </w:rPr>
        <w:t>评价单位：山西中财诚信会计师事务所有限责任公司</w:t>
      </w:r>
    </w:p>
    <w:p>
      <w:pPr>
        <w:widowControl/>
        <w:tabs>
          <w:tab w:val="left" w:pos="630"/>
        </w:tabs>
        <w:spacing w:before="120" w:after="120" w:line="660" w:lineRule="exact"/>
        <w:rPr>
          <w:rFonts w:eastAsia="方正小标宋简体" w:cs="Times New Roman"/>
          <w:sz w:val="36"/>
          <w:szCs w:val="36"/>
        </w:rPr>
      </w:pP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二〇二</w:t>
      </w:r>
      <w:r>
        <w:rPr>
          <w:rFonts w:hint="eastAsia" w:ascii="方正小标宋简体" w:hAnsi="方正小标宋简体" w:eastAsia="方正小标宋简体" w:cs="方正小标宋简体"/>
          <w:sz w:val="32"/>
          <w:szCs w:val="32"/>
          <w:highlight w:val="none"/>
          <w:lang w:val="en-US" w:eastAsia="zh-CN"/>
        </w:rPr>
        <w:t>三</w:t>
      </w:r>
      <w:r>
        <w:rPr>
          <w:rFonts w:hint="eastAsia" w:ascii="方正小标宋简体" w:hAnsi="方正小标宋简体" w:eastAsia="方正小标宋简体" w:cs="方正小标宋简体"/>
          <w:sz w:val="32"/>
          <w:szCs w:val="32"/>
          <w:highlight w:val="none"/>
        </w:rPr>
        <w:t>年</w:t>
      </w:r>
      <w:r>
        <w:rPr>
          <w:rFonts w:hint="eastAsia" w:ascii="方正小标宋简体" w:hAnsi="方正小标宋简体" w:eastAsia="方正小标宋简体" w:cs="方正小标宋简体"/>
          <w:sz w:val="32"/>
          <w:szCs w:val="32"/>
          <w:highlight w:val="none"/>
          <w:lang w:val="en-US" w:eastAsia="zh-CN"/>
        </w:rPr>
        <w:t>九</w:t>
      </w:r>
      <w:r>
        <w:rPr>
          <w:rFonts w:hint="eastAsia" w:ascii="方正小标宋简体" w:hAnsi="方正小标宋简体" w:eastAsia="方正小标宋简体" w:cs="方正小标宋简体"/>
          <w:sz w:val="32"/>
          <w:szCs w:val="32"/>
          <w:highlight w:val="none"/>
        </w:rPr>
        <w:t>月</w:t>
      </w:r>
    </w:p>
    <w:p>
      <w:pPr>
        <w:pStyle w:val="2"/>
        <w:rPr>
          <w:rFonts w:hint="eastAsia" w:ascii="方正小标宋简体" w:hAnsi="方正小标宋简体" w:eastAsia="方正小标宋简体" w:cs="方正小标宋简体"/>
          <w:sz w:val="32"/>
          <w:szCs w:val="32"/>
          <w:highlight w:val="none"/>
        </w:rPr>
      </w:pPr>
    </w:p>
    <w:p>
      <w:pPr>
        <w:pStyle w:val="2"/>
      </w:pPr>
    </w:p>
    <w:p>
      <w:pPr>
        <w:spacing w:before="0" w:beforeLines="0" w:after="0" w:afterLines="0" w:line="240" w:lineRule="auto"/>
        <w:ind w:left="0" w:leftChars="0" w:right="0" w:rightChars="0" w:firstLine="0" w:firstLineChars="0"/>
        <w:jc w:val="center"/>
        <w:rPr>
          <w:rFonts w:ascii="宋体" w:hAnsi="宋体" w:eastAsia="宋体" w:cs="仿宋_GB2312"/>
          <w:sz w:val="36"/>
          <w:szCs w:val="36"/>
          <w:lang w:val="en-US" w:eastAsia="zh-CN" w:bidi="ar-SA"/>
        </w:rPr>
        <w:sectPr>
          <w:headerReference r:id="rId3" w:type="default"/>
          <w:footerReference r:id="rId4" w:type="default"/>
          <w:pgSz w:w="11910" w:h="16840"/>
          <w:pgMar w:top="1440" w:right="1701" w:bottom="1440" w:left="1803" w:header="851" w:footer="992" w:gutter="0"/>
          <w:pgBorders>
            <w:top w:val="none" w:sz="0" w:space="0"/>
            <w:left w:val="none" w:sz="0" w:space="0"/>
            <w:bottom w:val="none" w:sz="0" w:space="0"/>
            <w:right w:val="none" w:sz="0" w:space="0"/>
          </w:pgBorders>
          <w:pgNumType w:fmt="decimal" w:start="1"/>
          <w:cols w:space="0" w:num="1"/>
        </w:sectPr>
      </w:pPr>
    </w:p>
    <w:p>
      <w:pPr>
        <w:spacing w:line="360" w:lineRule="auto"/>
        <w:jc w:val="center"/>
        <w:outlineLvl w:val="0"/>
        <w:rPr>
          <w:rFonts w:ascii="华文中宋" w:hAnsi="华文中宋" w:eastAsia="华文中宋"/>
          <w:b/>
          <w:sz w:val="44"/>
          <w:szCs w:val="44"/>
          <w:highlight w:val="none"/>
        </w:rPr>
      </w:pPr>
      <w:bookmarkStart w:id="0" w:name="_Toc139639776"/>
      <w:bookmarkStart w:id="1" w:name="_Toc947"/>
      <w:bookmarkStart w:id="2" w:name="_Toc20275"/>
      <w:bookmarkStart w:id="3" w:name="_Hlk138232404"/>
      <w:r>
        <w:rPr>
          <w:rFonts w:hint="eastAsia" w:ascii="华文中宋" w:hAnsi="华文中宋" w:eastAsia="华文中宋"/>
          <w:b/>
          <w:sz w:val="44"/>
          <w:szCs w:val="44"/>
          <w:highlight w:val="none"/>
        </w:rPr>
        <w:t>摘  要</w:t>
      </w:r>
      <w:bookmarkEnd w:id="0"/>
      <w:bookmarkEnd w:id="1"/>
      <w:bookmarkEnd w:id="2"/>
    </w:p>
    <w:p>
      <w:pPr>
        <w:spacing w:line="360" w:lineRule="auto"/>
        <w:ind w:firstLine="640" w:firstLineChars="200"/>
        <w:outlineLvl w:val="9"/>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一、概述要素</w:t>
      </w:r>
    </w:p>
    <w:p>
      <w:pPr>
        <w:pStyle w:val="5"/>
        <w:spacing w:before="0" w:line="360" w:lineRule="auto"/>
        <w:ind w:firstLine="320" w:firstLineChars="100"/>
        <w:jc w:val="both"/>
        <w:outlineLvl w:val="9"/>
        <w:rPr>
          <w:rFonts w:ascii="Times New Roman" w:hAnsi="Times New Roman" w:eastAsia="楷体" w:cs="Times New Roman"/>
        </w:rPr>
      </w:pP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一</w:t>
      </w:r>
      <w:r>
        <w:rPr>
          <w:rFonts w:hint="eastAsia" w:ascii="Times New Roman" w:hAnsi="Times New Roman" w:eastAsia="楷体" w:cs="Times New Roman"/>
          <w:lang w:eastAsia="zh-CN"/>
        </w:rPr>
        <w:t>）</w:t>
      </w:r>
      <w:r>
        <w:rPr>
          <w:rFonts w:hint="eastAsia" w:ascii="Times New Roman" w:hAnsi="Times New Roman" w:eastAsia="楷体" w:cs="Times New Roman"/>
        </w:rPr>
        <w:t>项目概况</w:t>
      </w:r>
    </w:p>
    <w:p>
      <w:pPr>
        <w:spacing w:line="360" w:lineRule="auto"/>
        <w:ind w:firstLine="640"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为深入贯彻党的十九大和习近平总书记视察山西重要讲话精神，科学谋划新时代改革开放再出发的战略部署，为推进拓展转型发展新局面的发展，全面推动经济高质量发展，</w:t>
      </w:r>
      <w:r>
        <w:rPr>
          <w:rFonts w:hint="eastAsia" w:ascii="仿宋_GB2312" w:hAnsi="Times New Roman" w:eastAsia="仿宋_GB2312" w:cs="Times New Roman"/>
          <w:sz w:val="32"/>
          <w:szCs w:val="32"/>
          <w:highlight w:val="none"/>
          <w:lang w:val="en-US" w:eastAsia="zh-CN"/>
        </w:rPr>
        <w:t>山西转型综合改革示范区晋中开发区</w:t>
      </w:r>
      <w:r>
        <w:rPr>
          <w:rFonts w:hint="eastAsia" w:ascii="Times New Roman" w:hAnsi="Times New Roman" w:eastAsia="仿宋_GB2312" w:cs="Times New Roman"/>
          <w:color w:val="auto"/>
          <w:kern w:val="0"/>
          <w:sz w:val="32"/>
          <w:szCs w:val="32"/>
          <w:highlight w:val="none"/>
          <w:lang w:val="en-US" w:eastAsia="zh-CN" w:bidi="ar-SA"/>
        </w:rPr>
        <w:t>以“全省转型综改主战场、全市转型发展主平台”为目标，全力加快构建绿色低碳、战略性新兴的现代化产业体系。</w:t>
      </w:r>
      <w:r>
        <w:rPr>
          <w:rFonts w:hint="eastAsia" w:ascii="Times New Roman" w:hAnsi="Times New Roman" w:cs="Times New Roman"/>
          <w:color w:val="auto"/>
          <w:kern w:val="0"/>
          <w:sz w:val="32"/>
          <w:szCs w:val="32"/>
          <w:highlight w:val="none"/>
          <w:lang w:val="en-US" w:eastAsia="zh-CN" w:bidi="ar-SA"/>
        </w:rPr>
        <w:t>顺利推进</w:t>
      </w:r>
      <w:r>
        <w:rPr>
          <w:rFonts w:hint="eastAsia" w:ascii="Times New Roman" w:hAnsi="Times New Roman" w:eastAsia="仿宋_GB2312" w:cs="Times New Roman"/>
          <w:sz w:val="32"/>
          <w:szCs w:val="32"/>
          <w:highlight w:val="none"/>
          <w:lang w:val="en-US" w:eastAsia="zh-CN" w:bidi="ar-SA"/>
        </w:rPr>
        <w:t>一批高度契合</w:t>
      </w:r>
      <w:r>
        <w:rPr>
          <w:rFonts w:hint="eastAsia" w:ascii="Times New Roman" w:hAnsi="Times New Roman" w:cs="Times New Roman"/>
          <w:sz w:val="32"/>
          <w:szCs w:val="32"/>
          <w:highlight w:val="none"/>
          <w:lang w:val="en-US" w:eastAsia="zh-CN" w:bidi="ar-SA"/>
        </w:rPr>
        <w:t>园</w:t>
      </w:r>
      <w:r>
        <w:rPr>
          <w:rFonts w:hint="eastAsia" w:ascii="Times New Roman" w:hAnsi="Times New Roman" w:eastAsia="仿宋_GB2312" w:cs="Times New Roman"/>
          <w:sz w:val="32"/>
          <w:szCs w:val="32"/>
          <w:highlight w:val="none"/>
          <w:lang w:val="en-US" w:eastAsia="zh-CN" w:bidi="ar-SA"/>
        </w:rPr>
        <w:t>区主导产业的重大产业项目</w:t>
      </w:r>
      <w:r>
        <w:rPr>
          <w:rFonts w:hint="eastAsia" w:ascii="Times New Roman" w:hAnsi="Times New Roman" w:cs="Times New Roman"/>
          <w:sz w:val="32"/>
          <w:szCs w:val="32"/>
          <w:highlight w:val="none"/>
          <w:lang w:val="en-US" w:eastAsia="zh-CN" w:bidi="ar-SA"/>
        </w:rPr>
        <w:t>建成，</w:t>
      </w:r>
      <w:r>
        <w:rPr>
          <w:rFonts w:hint="eastAsia" w:ascii="Times New Roman" w:hAnsi="Times New Roman" w:eastAsia="仿宋_GB2312" w:cs="Times New Roman"/>
          <w:color w:val="auto"/>
          <w:kern w:val="0"/>
          <w:sz w:val="32"/>
          <w:szCs w:val="32"/>
          <w:highlight w:val="none"/>
          <w:lang w:val="en-US" w:eastAsia="zh-CN" w:bidi="ar-SA"/>
        </w:rPr>
        <w:t>推动</w:t>
      </w:r>
      <w:r>
        <w:rPr>
          <w:rFonts w:hint="eastAsia" w:ascii="Times New Roman" w:hAnsi="Times New Roman" w:cs="Times New Roman"/>
          <w:color w:val="auto"/>
          <w:kern w:val="0"/>
          <w:sz w:val="32"/>
          <w:szCs w:val="32"/>
          <w:highlight w:val="none"/>
          <w:lang w:val="en-US" w:eastAsia="zh-CN" w:bidi="ar-SA"/>
        </w:rPr>
        <w:t>山西科技创新城</w:t>
      </w:r>
      <w:r>
        <w:rPr>
          <w:rFonts w:hint="eastAsia" w:ascii="Times New Roman" w:hAnsi="Times New Roman" w:eastAsia="仿宋_GB2312" w:cs="Times New Roman"/>
          <w:color w:val="auto"/>
          <w:kern w:val="0"/>
          <w:sz w:val="32"/>
          <w:szCs w:val="32"/>
          <w:highlight w:val="none"/>
          <w:lang w:val="en-US" w:eastAsia="zh-CN" w:bidi="ar-SA"/>
        </w:rPr>
        <w:t>的大力发展</w:t>
      </w:r>
      <w:r>
        <w:rPr>
          <w:rFonts w:hint="eastAsia" w:ascii="仿宋_GB2312" w:hAnsi="仿宋_GB2312" w:eastAsia="仿宋_GB2312" w:cs="仿宋_GB2312"/>
          <w:color w:val="auto"/>
          <w:kern w:val="0"/>
          <w:sz w:val="32"/>
          <w:szCs w:val="32"/>
          <w:highlight w:val="none"/>
          <w:lang w:val="en-US" w:eastAsia="zh-CN" w:bidi="ar-SA"/>
        </w:rPr>
        <w:t>。</w:t>
      </w:r>
    </w:p>
    <w:p>
      <w:pPr>
        <w:pStyle w:val="11"/>
        <w:shd w:val="clear" w:color="auto" w:fill="FFFFFF"/>
        <w:spacing w:before="0" w:beforeAutospacing="0" w:after="0" w:afterAutospacing="0" w:line="360" w:lineRule="auto"/>
        <w:ind w:firstLine="640" w:firstLineChars="200"/>
        <w:jc w:val="both"/>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lang w:val="en-US" w:eastAsia="zh-CN" w:bidi="ar-SA"/>
        </w:rPr>
        <w:t>晋中市中南高科实业有限公司于2020年12月14日摘牌号地块GK2020-15（17万平方米），约合239亩的国有建设土地使用权，用于项目建设。项目红线范围内存在大量建筑（生活）垃圾及沟坑，需要对项目地块红线范围内的存在的建筑（生活）垃圾进行清运并对场地内的沟坑进行回填</w:t>
      </w:r>
      <w:r>
        <w:rPr>
          <w:rFonts w:hint="eastAsia" w:ascii="仿宋_GB2312" w:hAnsi="仿宋_GB2312" w:eastAsia="仿宋_GB2312" w:cs="仿宋_GB2312"/>
          <w:sz w:val="32"/>
          <w:szCs w:val="32"/>
          <w:highlight w:val="none"/>
        </w:rPr>
        <w:t>。</w:t>
      </w:r>
    </w:p>
    <w:p>
      <w:pPr>
        <w:pStyle w:val="5"/>
        <w:spacing w:before="0" w:line="360" w:lineRule="auto"/>
        <w:ind w:firstLine="320" w:firstLineChars="100"/>
        <w:jc w:val="both"/>
        <w:outlineLvl w:val="9"/>
        <w:rPr>
          <w:rFonts w:hint="default" w:ascii="Times New Roman" w:hAnsi="Times New Roman" w:eastAsia="楷体" w:cs="Times New Roman"/>
          <w:lang w:val="en-US" w:eastAsia="zh-CN"/>
        </w:rPr>
      </w:pP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二</w:t>
      </w: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项目绩效目标</w:t>
      </w:r>
    </w:p>
    <w:p>
      <w:pPr>
        <w:spacing w:line="360" w:lineRule="auto"/>
        <w:ind w:firstLine="643" w:firstLineChars="200"/>
        <w:jc w:val="both"/>
        <w:outlineLvl w:val="9"/>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1.</w:t>
      </w:r>
      <w:r>
        <w:rPr>
          <w:rFonts w:ascii="Times New Roman" w:hAnsi="Times New Roman" w:cs="Times New Roman"/>
          <w:b/>
          <w:bCs/>
          <w:sz w:val="32"/>
          <w:szCs w:val="32"/>
        </w:rPr>
        <w:t>总体绩效目标</w:t>
      </w:r>
    </w:p>
    <w:p>
      <w:pPr>
        <w:tabs>
          <w:tab w:val="left" w:pos="1114"/>
        </w:tabs>
        <w:spacing w:before="65" w:line="360" w:lineRule="auto"/>
        <w:ind w:firstLine="640" w:firstLineChars="200"/>
        <w:jc w:val="both"/>
        <w:outlineLvl w:val="9"/>
        <w:rPr>
          <w:rFonts w:ascii="Times New Roman" w:hAnsi="Times New Roman" w:cs="Times New Roman"/>
          <w:sz w:val="32"/>
          <w:szCs w:val="32"/>
          <w:highlight w:val="yellow"/>
        </w:rPr>
      </w:pPr>
      <w:r>
        <w:rPr>
          <w:rFonts w:hint="eastAsia" w:hAnsi="仿宋" w:cs="仿宋"/>
          <w:sz w:val="32"/>
          <w:szCs w:val="32"/>
          <w:highlight w:val="none"/>
          <w:lang w:val="en-US" w:eastAsia="zh-CN"/>
        </w:rPr>
        <w:t>项目地块内的建筑（生活）垃圾、水渠及鱼塘清淤及回填，达到基本平整为标准，确保中南高科•晋中通用设备智造未来城产业园项目</w:t>
      </w:r>
      <w:r>
        <w:rPr>
          <w:rFonts w:hint="eastAsia" w:ascii="Times New Roman" w:hAnsi="Times New Roman" w:cs="Times New Roman"/>
          <w:sz w:val="32"/>
          <w:szCs w:val="32"/>
          <w:highlight w:val="none"/>
          <w:lang w:val="en-US" w:eastAsia="zh-CN"/>
        </w:rPr>
        <w:t>顺利推进</w:t>
      </w:r>
      <w:r>
        <w:rPr>
          <w:rFonts w:hint="eastAsia" w:hAnsi="仿宋" w:cs="仿宋"/>
          <w:sz w:val="32"/>
          <w:szCs w:val="32"/>
          <w:highlight w:val="none"/>
        </w:rPr>
        <w:t>。</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2.阶段性目标</w:t>
      </w:r>
    </w:p>
    <w:p>
      <w:pPr>
        <w:pStyle w:val="5"/>
        <w:spacing w:before="0" w:line="360" w:lineRule="auto"/>
        <w:ind w:left="0" w:firstLine="640" w:firstLineChars="200"/>
        <w:jc w:val="both"/>
        <w:rPr>
          <w:rFonts w:ascii="Times New Roman" w:hAnsi="Times New Roman" w:cs="Times New Roman"/>
        </w:rPr>
      </w:pPr>
      <w:r>
        <w:rPr>
          <w:rFonts w:ascii="Times New Roman" w:hAnsi="Times New Roman" w:cs="Times New Roman"/>
        </w:rPr>
        <w:t>（1）产出目标</w:t>
      </w:r>
    </w:p>
    <w:p>
      <w:pPr>
        <w:pStyle w:val="5"/>
        <w:spacing w:before="0" w:line="360" w:lineRule="auto"/>
        <w:ind w:left="0" w:firstLine="640" w:firstLineChars="200"/>
        <w:jc w:val="both"/>
        <w:rPr>
          <w:rFonts w:hAnsi="Times New Roman" w:cs="Times New Roman"/>
        </w:rPr>
      </w:pPr>
      <w:r>
        <w:rPr>
          <w:rFonts w:hint="eastAsia" w:hAnsi="Times New Roman" w:cs="Times New Roman"/>
        </w:rPr>
        <w:t>数量目标：</w:t>
      </w:r>
      <w:r>
        <w:rPr>
          <w:rFonts w:hint="eastAsia" w:hAnsi="仿宋" w:cs="仿宋"/>
          <w:lang w:val="en-US" w:eastAsia="zh-CN"/>
        </w:rPr>
        <w:t>清运量16315.5m³，回填量26988.1m³</w:t>
      </w:r>
      <w:r>
        <w:rPr>
          <w:rFonts w:hint="eastAsia" w:hAnsi="Times New Roman" w:cs="Times New Roman"/>
        </w:rPr>
        <w:t>。</w:t>
      </w:r>
    </w:p>
    <w:p>
      <w:pPr>
        <w:pStyle w:val="5"/>
        <w:spacing w:before="0" w:line="360" w:lineRule="auto"/>
        <w:ind w:left="0" w:firstLine="640" w:firstLineChars="200"/>
        <w:jc w:val="both"/>
        <w:rPr>
          <w:rFonts w:hAnsi="Times New Roman" w:cs="Times New Roman"/>
          <w:highlight w:val="yellow"/>
        </w:rPr>
      </w:pPr>
      <w:r>
        <w:rPr>
          <w:rFonts w:hint="eastAsia" w:hAnsi="Times New Roman" w:cs="Times New Roman"/>
        </w:rPr>
        <w:t>质量目标：</w:t>
      </w:r>
      <w:r>
        <w:rPr>
          <w:rFonts w:hint="eastAsia" w:hAnsi="仿宋" w:cs="仿宋"/>
          <w:highlight w:val="none"/>
          <w:lang w:val="en-US" w:eastAsia="zh-CN"/>
        </w:rPr>
        <w:t>符合</w:t>
      </w:r>
      <w:r>
        <w:rPr>
          <w:rFonts w:hint="eastAsia" w:hAnsi="仿宋" w:cs="仿宋"/>
          <w:sz w:val="32"/>
          <w:szCs w:val="32"/>
          <w:highlight w:val="none"/>
          <w:lang w:val="en-US" w:eastAsia="zh-CN"/>
        </w:rPr>
        <w:t>中南高科•晋中通用设备智造未来城产业园项目</w:t>
      </w:r>
      <w:r>
        <w:rPr>
          <w:rFonts w:hint="eastAsia" w:ascii="Times New Roman" w:hAnsi="Times New Roman" w:cs="Times New Roman"/>
          <w:sz w:val="32"/>
          <w:szCs w:val="32"/>
          <w:highlight w:val="none"/>
          <w:lang w:val="en-US" w:eastAsia="zh-CN"/>
        </w:rPr>
        <w:t>前期清表工作要求</w:t>
      </w:r>
      <w:r>
        <w:rPr>
          <w:rFonts w:hint="eastAsia" w:hAnsi="Times New Roman" w:cs="Times New Roman"/>
          <w:highlight w:val="none"/>
        </w:rPr>
        <w:t>。</w:t>
      </w:r>
    </w:p>
    <w:p>
      <w:pPr>
        <w:pStyle w:val="5"/>
        <w:spacing w:before="0" w:line="360" w:lineRule="auto"/>
        <w:ind w:left="0" w:firstLine="640" w:firstLineChars="200"/>
        <w:jc w:val="both"/>
        <w:rPr>
          <w:rFonts w:hAnsi="Times New Roman" w:cs="Times New Roman"/>
        </w:rPr>
      </w:pPr>
      <w:r>
        <w:rPr>
          <w:rFonts w:hint="eastAsia" w:hAnsi="Times New Roman" w:cs="Times New Roman"/>
        </w:rPr>
        <w:t>时效目标：</w:t>
      </w:r>
      <w:r>
        <w:rPr>
          <w:rFonts w:hint="eastAsia" w:hAnsi="Times New Roman" w:cs="Times New Roman"/>
          <w:lang w:val="en-US" w:eastAsia="zh-CN"/>
        </w:rPr>
        <w:t>2021年7月30日至2021年9月30日，</w:t>
      </w:r>
      <w:r>
        <w:rPr>
          <w:rFonts w:hint="eastAsia" w:hAnsi="仿宋" w:cs="仿宋"/>
          <w:lang w:val="en-US" w:eastAsia="zh-CN"/>
        </w:rPr>
        <w:t>工期63天</w:t>
      </w:r>
      <w:r>
        <w:rPr>
          <w:rFonts w:hint="eastAsia" w:hAnsi="Times New Roman" w:cs="Times New Roman"/>
        </w:rPr>
        <w:t>。</w:t>
      </w:r>
    </w:p>
    <w:p>
      <w:pPr>
        <w:pStyle w:val="5"/>
        <w:spacing w:before="0" w:line="360" w:lineRule="auto"/>
        <w:ind w:left="0" w:firstLine="640" w:firstLineChars="200"/>
        <w:jc w:val="both"/>
        <w:rPr>
          <w:rFonts w:hAnsi="Times New Roman" w:cs="Times New Roman"/>
        </w:rPr>
      </w:pPr>
      <w:r>
        <w:rPr>
          <w:rFonts w:hint="eastAsia" w:hAnsi="Times New Roman" w:cs="Times New Roman"/>
        </w:rPr>
        <w:t>成本目标：</w:t>
      </w:r>
      <w:r>
        <w:rPr>
          <w:rFonts w:hint="eastAsia" w:hAnsi="Times New Roman" w:cs="Times New Roman"/>
          <w:lang w:val="en-US" w:eastAsia="zh-CN"/>
        </w:rPr>
        <w:t>小于等于预算投资额</w:t>
      </w:r>
      <w:r>
        <w:rPr>
          <w:rFonts w:hint="eastAsia" w:ascii="Times New Roman" w:hAnsi="Times New Roman" w:cs="Times New Roman"/>
          <w:sz w:val="32"/>
          <w:szCs w:val="32"/>
          <w:highlight w:val="none"/>
          <w:lang w:val="en-US" w:eastAsia="zh-CN"/>
        </w:rPr>
        <w:t>91.00928万元</w:t>
      </w:r>
      <w:r>
        <w:rPr>
          <w:rFonts w:hint="eastAsia" w:hAnsi="Times New Roman" w:cs="Times New Roman"/>
        </w:rPr>
        <w:t>。</w:t>
      </w:r>
    </w:p>
    <w:p>
      <w:pPr>
        <w:pStyle w:val="5"/>
        <w:spacing w:before="0" w:line="360" w:lineRule="auto"/>
        <w:ind w:left="0" w:firstLine="640" w:firstLineChars="200"/>
        <w:jc w:val="both"/>
        <w:rPr>
          <w:rFonts w:ascii="Times New Roman" w:hAnsi="Times New Roman" w:cs="Times New Roman"/>
        </w:rPr>
      </w:pPr>
      <w:r>
        <w:rPr>
          <w:rFonts w:hint="eastAsia" w:ascii="Times New Roman" w:hAnsi="Times New Roman" w:cs="Times New Roman"/>
        </w:rPr>
        <w:t>（2）效益指标</w:t>
      </w:r>
    </w:p>
    <w:p>
      <w:pPr>
        <w:pStyle w:val="5"/>
        <w:spacing w:before="0" w:line="360" w:lineRule="auto"/>
        <w:ind w:left="0" w:firstLine="640" w:firstLineChars="200"/>
        <w:jc w:val="both"/>
        <w:rPr>
          <w:rFonts w:hint="eastAsia" w:hAnsi="Times New Roman" w:cs="Times New Roman"/>
        </w:rPr>
      </w:pPr>
      <w:r>
        <w:rPr>
          <w:rFonts w:hint="eastAsia" w:hAnsi="Times New Roman" w:cs="Times New Roman"/>
        </w:rPr>
        <w:t>社会效益：</w:t>
      </w:r>
      <w:r>
        <w:rPr>
          <w:rFonts w:hint="eastAsia" w:hAnsi="仿宋" w:cs="仿宋"/>
          <w:sz w:val="32"/>
          <w:szCs w:val="32"/>
          <w:lang w:val="en-US" w:eastAsia="zh-CN"/>
        </w:rPr>
        <w:t>确保中南高科•晋中通用设备智造未来城产业园项目</w:t>
      </w:r>
      <w:r>
        <w:rPr>
          <w:rFonts w:hint="eastAsia" w:ascii="Times New Roman" w:hAnsi="Times New Roman" w:cs="Times New Roman"/>
          <w:sz w:val="32"/>
          <w:szCs w:val="32"/>
          <w:lang w:val="en-US" w:eastAsia="zh-CN"/>
        </w:rPr>
        <w:t>顺利推进</w:t>
      </w:r>
      <w:r>
        <w:rPr>
          <w:rFonts w:hint="eastAsia" w:hAnsi="Times New Roman" w:cs="Times New Roman"/>
        </w:rPr>
        <w:t>。</w:t>
      </w:r>
    </w:p>
    <w:p>
      <w:pPr>
        <w:pStyle w:val="5"/>
        <w:spacing w:before="0" w:line="360" w:lineRule="auto"/>
        <w:ind w:left="0" w:firstLine="640" w:firstLineChars="200"/>
        <w:jc w:val="both"/>
        <w:rPr>
          <w:rFonts w:hint="default" w:ascii="Times New Roman" w:hAnsi="Times New Roman" w:eastAsia="仿宋_GB2312" w:cs="Times New Roman"/>
          <w:highlight w:val="none"/>
          <w:lang w:val="en-US" w:eastAsia="zh-CN"/>
        </w:rPr>
      </w:pPr>
      <w:r>
        <w:rPr>
          <w:rFonts w:hint="eastAsia" w:hAnsi="Times New Roman" w:cs="Times New Roman"/>
          <w:highlight w:val="none"/>
        </w:rPr>
        <w:t>满意度：</w:t>
      </w:r>
      <w:r>
        <w:rPr>
          <w:rFonts w:hint="eastAsia" w:hAnsi="Times New Roman" w:cs="Times New Roman"/>
          <w:highlight w:val="none"/>
          <w:lang w:val="en-US" w:eastAsia="zh-CN"/>
        </w:rPr>
        <w:t>项目受益方满意度</w:t>
      </w:r>
      <w:r>
        <w:rPr>
          <w:rFonts w:hint="eastAsia" w:hAnsi="Times New Roman" w:cs="Times New Roman"/>
          <w:highlight w:val="none"/>
        </w:rPr>
        <w:t>≥9</w:t>
      </w:r>
      <w:r>
        <w:rPr>
          <w:rFonts w:hint="eastAsia" w:hAnsi="Times New Roman" w:cs="Times New Roman"/>
          <w:highlight w:val="none"/>
          <w:lang w:val="en-US" w:eastAsia="zh-CN"/>
        </w:rPr>
        <w:t>5</w:t>
      </w:r>
      <w:r>
        <w:rPr>
          <w:rFonts w:hint="eastAsia" w:hAnsi="Times New Roman" w:cs="Times New Roman"/>
          <w:highlight w:val="none"/>
        </w:rPr>
        <w:t>%</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3.资金收支情况</w:t>
      </w:r>
    </w:p>
    <w:p>
      <w:pPr>
        <w:keepNext w:val="0"/>
        <w:keepLines w:val="0"/>
        <w:pageBreakBefore w:val="0"/>
        <w:widowControl w:val="0"/>
        <w:tabs>
          <w:tab w:val="left" w:pos="1114"/>
        </w:tabs>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val="en-US" w:eastAsia="zh-CN"/>
        </w:rPr>
        <w:t>中南高科•晋中通用设备智造未来城产业园项目地块范围内建筑垃圾、水渠及鱼塘清淤和回填工程</w:t>
      </w:r>
      <w:r>
        <w:rPr>
          <w:rFonts w:hint="eastAsia" w:ascii="仿宋_GB2312" w:hAnsi="仿宋_GB2312" w:eastAsia="仿宋_GB2312" w:cs="仿宋_GB2312"/>
          <w:sz w:val="32"/>
          <w:szCs w:val="32"/>
          <w:highlight w:val="none"/>
          <w:lang w:val="en-US" w:eastAsia="zh-CN"/>
        </w:rPr>
        <w:t>预算金额为91.00928万元，</w:t>
      </w:r>
      <w:r>
        <w:rPr>
          <w:rFonts w:hint="eastAsia" w:ascii="仿宋_GB2312" w:hAnsi="仿宋_GB2312" w:eastAsia="仿宋_GB2312" w:cs="仿宋_GB2312"/>
          <w:sz w:val="32"/>
          <w:szCs w:val="32"/>
          <w:highlight w:val="none"/>
          <w:lang w:val="en-US" w:eastAsia="zh-CN" w:bidi="ar-SA"/>
        </w:rPr>
        <w:t>资金来源于山西转型综合改革示范区晋中开发区财政局</w:t>
      </w:r>
      <w:r>
        <w:rPr>
          <w:rFonts w:hint="eastAsia" w:ascii="仿宋_GB2312" w:hAnsi="仿宋_GB2312" w:eastAsia="仿宋_GB2312" w:cs="仿宋_GB2312"/>
          <w:sz w:val="32"/>
          <w:szCs w:val="32"/>
          <w:highlight w:val="none"/>
          <w:lang w:val="zh-TW"/>
        </w:rPr>
        <w:t>专项资金</w:t>
      </w:r>
      <w:r>
        <w:rPr>
          <w:rFonts w:hint="eastAsia" w:ascii="仿宋_GB2312" w:hAnsi="仿宋_GB2312" w:eastAsia="仿宋_GB2312" w:cs="仿宋_GB2312"/>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2022年6月15日综示晋开财发[2022]102号《关于下达中南高科晋中通用设备智造未来城产业园项目地块范围内建筑垃圾、水渠及鱼塘清淤和回填工程费用预算指标的通知》，下达工程款910,092.80元到山西转型综合改革示范区晋中开发区园区建设管理部，用于工程项目建筑垃圾、水渠及鱼塘清淤和回填。工程款以财政拨款方式于2022年7月8日直接支付给施工方山西广红建筑工程有限公司。</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中南高科•晋中通用设备智造未来城产业园项目地块范围内建筑垃圾、水渠及鱼塘清淤和回填工程款实际到位910,092.80元，已支付工程款910,092.80元。</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4.评分结果和评价结论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ascii="Times New Roman" w:hAnsi="Times New Roman" w:cs="Times New Roman"/>
          <w:sz w:val="32"/>
          <w:szCs w:val="32"/>
          <w:highlight w:val="none"/>
        </w:rPr>
      </w:pPr>
      <w:r>
        <w:rPr>
          <w:rFonts w:hint="eastAsia" w:ascii="Times New Roman" w:hAnsi="Times New Roman" w:cs="Times New Roman"/>
          <w:sz w:val="32"/>
          <w:szCs w:val="32"/>
          <w:highlight w:val="none"/>
        </w:rPr>
        <w:t>（1）评分结果</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firstLine="640" w:firstLineChars="200"/>
        <w:jc w:val="both"/>
        <w:textAlignment w:val="auto"/>
        <w:outlineLvl w:val="9"/>
        <w:rPr>
          <w:rFonts w:ascii="Times New Roman" w:hAnsi="Times New Roman" w:cs="Times New Roman"/>
          <w:highlight w:val="none"/>
        </w:rPr>
      </w:pPr>
      <w:r>
        <w:rPr>
          <w:rFonts w:hint="eastAsia" w:ascii="仿宋_GB2312" w:hAnsi="仿宋_GB2312" w:eastAsia="仿宋_GB2312" w:cs="仿宋_GB2312"/>
          <w:sz w:val="32"/>
          <w:szCs w:val="32"/>
          <w:highlight w:val="none"/>
          <w:lang w:val="en-US" w:eastAsia="zh-CN" w:bidi="ar-SA"/>
        </w:rPr>
        <w:t>中南高科•晋中通用设备智造未来城产业园项目地块范围内建筑垃圾、水渠及鱼塘清淤和回填工程</w:t>
      </w:r>
      <w:r>
        <w:rPr>
          <w:rFonts w:hint="eastAsia" w:ascii="Times New Roman" w:hAnsi="Times New Roman" w:cs="Times New Roman"/>
          <w:highlight w:val="none"/>
          <w:lang w:val="en-US" w:eastAsia="zh-CN"/>
        </w:rPr>
        <w:t>项目</w:t>
      </w:r>
      <w:r>
        <w:rPr>
          <w:rFonts w:ascii="Times New Roman" w:hAnsi="Times New Roman" w:cs="Times New Roman"/>
          <w:highlight w:val="none"/>
        </w:rPr>
        <w:t>总体</w:t>
      </w:r>
      <w:r>
        <w:rPr>
          <w:rFonts w:hint="eastAsia" w:ascii="Times New Roman" w:hAnsi="Times New Roman" w:cs="Times New Roman"/>
          <w:highlight w:val="none"/>
          <w:lang w:val="en-US" w:eastAsia="zh-CN"/>
        </w:rPr>
        <w:t>评</w:t>
      </w:r>
      <w:r>
        <w:rPr>
          <w:rFonts w:ascii="Times New Roman" w:hAnsi="Times New Roman" w:cs="Times New Roman"/>
          <w:highlight w:val="none"/>
        </w:rPr>
        <w:t xml:space="preserve">分为 </w:t>
      </w:r>
      <w:r>
        <w:rPr>
          <w:rFonts w:hint="eastAsia" w:ascii="Times New Roman" w:hAnsi="Times New Roman" w:cs="Times New Roman"/>
          <w:highlight w:val="none"/>
          <w:lang w:val="en-US" w:eastAsia="zh-CN"/>
        </w:rPr>
        <w:t>92</w:t>
      </w:r>
      <w:r>
        <w:rPr>
          <w:rFonts w:ascii="Times New Roman" w:hAnsi="Times New Roman" w:cs="Times New Roman"/>
          <w:highlight w:val="none"/>
        </w:rPr>
        <w:t>分，评价等级为“</w:t>
      </w:r>
      <w:r>
        <w:rPr>
          <w:rFonts w:hint="eastAsia" w:ascii="Times New Roman" w:hAnsi="Times New Roman" w:cs="Times New Roman"/>
          <w:highlight w:val="none"/>
          <w:lang w:val="en-US" w:eastAsia="zh-CN"/>
        </w:rPr>
        <w:t>优</w:t>
      </w:r>
      <w:r>
        <w:rPr>
          <w:rFonts w:ascii="Times New Roman" w:hAnsi="Times New Roman" w:cs="Times New Roman"/>
          <w:highlight w:val="none"/>
        </w:rPr>
        <w:t xml:space="preserve">”。其中决策类指标得 </w:t>
      </w:r>
      <w:r>
        <w:rPr>
          <w:rFonts w:hint="eastAsia" w:ascii="Times New Roman" w:hAnsi="Times New Roman" w:cs="Times New Roman"/>
          <w:highlight w:val="none"/>
          <w:lang w:val="en-US" w:eastAsia="zh-CN"/>
        </w:rPr>
        <w:t>20</w:t>
      </w:r>
      <w:r>
        <w:rPr>
          <w:rFonts w:ascii="Times New Roman" w:hAnsi="Times New Roman" w:cs="Times New Roman"/>
          <w:highlight w:val="none"/>
        </w:rPr>
        <w:t>分，过程类指标得</w:t>
      </w:r>
      <w:r>
        <w:rPr>
          <w:rFonts w:hint="eastAsia" w:ascii="Times New Roman" w:hAnsi="Times New Roman" w:cs="Times New Roman"/>
          <w:highlight w:val="none"/>
          <w:lang w:val="en-US" w:eastAsia="zh-CN"/>
        </w:rPr>
        <w:t>19</w:t>
      </w:r>
      <w:r>
        <w:rPr>
          <w:rFonts w:ascii="Times New Roman" w:hAnsi="Times New Roman" w:cs="Times New Roman"/>
          <w:highlight w:val="none"/>
        </w:rPr>
        <w:t>分，</w:t>
      </w:r>
      <w:r>
        <w:rPr>
          <w:rFonts w:hint="eastAsia" w:ascii="Times New Roman" w:hAnsi="Times New Roman" w:cs="Times New Roman"/>
          <w:highlight w:val="none"/>
        </w:rPr>
        <w:t>产出类指标得</w:t>
      </w:r>
      <w:r>
        <w:rPr>
          <w:rFonts w:hint="eastAsia" w:ascii="Times New Roman" w:hAnsi="Times New Roman" w:cs="Times New Roman"/>
          <w:highlight w:val="none"/>
          <w:lang w:val="en-US" w:eastAsia="zh-CN"/>
        </w:rPr>
        <w:t>23</w:t>
      </w:r>
      <w:r>
        <w:rPr>
          <w:rFonts w:hint="eastAsia" w:ascii="Times New Roman" w:hAnsi="Times New Roman" w:cs="Times New Roman"/>
          <w:highlight w:val="none"/>
        </w:rPr>
        <w:t>分，效益类指标得</w:t>
      </w:r>
      <w:r>
        <w:rPr>
          <w:rFonts w:hint="eastAsia" w:ascii="Times New Roman" w:hAnsi="Times New Roman" w:cs="Times New Roman"/>
          <w:highlight w:val="none"/>
          <w:lang w:val="en-US" w:eastAsia="zh-CN"/>
        </w:rPr>
        <w:t>30</w:t>
      </w:r>
      <w:r>
        <w:rPr>
          <w:rFonts w:hint="eastAsia" w:ascii="Times New Roman" w:hAnsi="Times New Roman" w:cs="Times New Roman"/>
          <w:highlight w:val="none"/>
        </w:rPr>
        <w:t>分。</w:t>
      </w:r>
      <w:r>
        <w:rPr>
          <w:rFonts w:ascii="Times New Roman" w:hAnsi="Times New Roman" w:cs="Times New Roman"/>
          <w:highlight w:val="none"/>
        </w:rPr>
        <w:t>各部分得分率见下表：</w:t>
      </w:r>
    </w:p>
    <w:p>
      <w:pPr>
        <w:spacing w:line="360" w:lineRule="auto"/>
        <w:jc w:val="center"/>
        <w:outlineLvl w:val="9"/>
        <w:rPr>
          <w:rFonts w:ascii="Times New Roman" w:hAnsi="Times New Roman" w:eastAsia="黑体" w:cs="Times New Roman"/>
          <w:bCs/>
          <w:sz w:val="24"/>
          <w:szCs w:val="24"/>
        </w:rPr>
      </w:pPr>
      <w:r>
        <w:rPr>
          <w:rFonts w:hint="eastAsia" w:ascii="Times New Roman" w:hAnsi="Times New Roman" w:eastAsia="黑体" w:cs="Times New Roman"/>
          <w:b/>
          <w:bCs/>
          <w:sz w:val="15"/>
          <w:szCs w:val="15"/>
          <w:highlight w:val="none"/>
          <w:lang w:val="en-US" w:eastAsia="zh-CN"/>
        </w:rPr>
        <w:t>中南高科•晋中通用设备智造未来城产业园项目地块范围内建筑垃圾、水渠及鱼塘清淤和回填工程项目</w:t>
      </w:r>
      <w:r>
        <w:rPr>
          <w:rFonts w:ascii="Times New Roman" w:hAnsi="Times New Roman" w:eastAsia="黑体" w:cs="Times New Roman"/>
          <w:b/>
          <w:bCs/>
          <w:sz w:val="15"/>
          <w:szCs w:val="15"/>
          <w:highlight w:val="none"/>
        </w:rPr>
        <w:t>绩效得分表</w:t>
      </w:r>
    </w:p>
    <w:tbl>
      <w:tblPr>
        <w:tblStyle w:val="13"/>
        <w:tblW w:w="8316" w:type="dxa"/>
        <w:tblInd w:w="93" w:type="dxa"/>
        <w:tblLayout w:type="fixed"/>
        <w:tblCellMar>
          <w:top w:w="0" w:type="dxa"/>
          <w:left w:w="108" w:type="dxa"/>
          <w:bottom w:w="0" w:type="dxa"/>
          <w:right w:w="108" w:type="dxa"/>
        </w:tblCellMar>
      </w:tblPr>
      <w:tblGrid>
        <w:gridCol w:w="1237"/>
        <w:gridCol w:w="1394"/>
        <w:gridCol w:w="1488"/>
        <w:gridCol w:w="1524"/>
        <w:gridCol w:w="1454"/>
        <w:gridCol w:w="1219"/>
      </w:tblGrid>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指标</w:t>
            </w:r>
          </w:p>
        </w:tc>
        <w:tc>
          <w:tcPr>
            <w:tcW w:w="139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决策类</w:t>
            </w:r>
          </w:p>
        </w:tc>
        <w:tc>
          <w:tcPr>
            <w:tcW w:w="148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过程类</w:t>
            </w:r>
          </w:p>
        </w:tc>
        <w:tc>
          <w:tcPr>
            <w:tcW w:w="152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产出类</w:t>
            </w:r>
          </w:p>
        </w:tc>
        <w:tc>
          <w:tcPr>
            <w:tcW w:w="145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效益类</w:t>
            </w:r>
          </w:p>
        </w:tc>
        <w:tc>
          <w:tcPr>
            <w:tcW w:w="12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合计</w:t>
            </w:r>
          </w:p>
        </w:tc>
      </w:tr>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outlineLvl w:val="9"/>
              <w:rPr>
                <w:rFonts w:ascii="宋体" w:hAnsi="宋体" w:eastAsia="宋体" w:cs="宋体"/>
                <w:color w:val="000000"/>
              </w:rPr>
            </w:pPr>
            <w:r>
              <w:rPr>
                <w:rFonts w:hint="eastAsia" w:ascii="宋体" w:hAnsi="宋体" w:eastAsia="宋体" w:cs="宋体"/>
                <w:color w:val="000000"/>
                <w:lang w:bidi="ar"/>
              </w:rPr>
              <w:t>指标分值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20.00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20.00 </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30.00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30.00 </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100.00 </w:t>
            </w:r>
          </w:p>
        </w:tc>
      </w:tr>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outlineLvl w:val="9"/>
              <w:rPr>
                <w:rFonts w:ascii="宋体" w:hAnsi="宋体" w:eastAsia="宋体" w:cs="宋体"/>
                <w:color w:val="000000"/>
              </w:rPr>
            </w:pPr>
            <w:r>
              <w:rPr>
                <w:rFonts w:hint="eastAsia" w:ascii="宋体" w:hAnsi="宋体" w:eastAsia="宋体" w:cs="宋体"/>
                <w:color w:val="000000"/>
                <w:lang w:bidi="ar"/>
              </w:rPr>
              <w:t>得  分</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20.00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19.00</w:t>
            </w:r>
            <w:r>
              <w:rPr>
                <w:rFonts w:hint="eastAsia" w:ascii="宋体" w:hAnsi="宋体" w:eastAsia="宋体" w:cs="宋体"/>
                <w:color w:val="000000"/>
                <w:lang w:bidi="ar"/>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23</w:t>
            </w:r>
            <w:r>
              <w:rPr>
                <w:rFonts w:ascii="宋体" w:hAnsi="宋体" w:eastAsia="宋体" w:cs="宋体"/>
                <w:color w:val="000000"/>
                <w:lang w:bidi="ar"/>
              </w:rPr>
              <w:t>.00</w:t>
            </w:r>
            <w:r>
              <w:rPr>
                <w:rFonts w:hint="eastAsia" w:ascii="宋体" w:hAnsi="宋体" w:eastAsia="宋体" w:cs="宋体"/>
                <w:color w:val="000000"/>
                <w:lang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30.00</w:t>
            </w:r>
            <w:r>
              <w:rPr>
                <w:rFonts w:hint="eastAsia" w:ascii="宋体" w:hAnsi="宋体" w:eastAsia="宋体" w:cs="宋体"/>
                <w:color w:val="000000"/>
                <w:lang w:bidi="ar"/>
              </w:rPr>
              <w:t xml:space="preserve"> </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92.00</w:t>
            </w:r>
            <w:r>
              <w:rPr>
                <w:rFonts w:hint="eastAsia" w:ascii="宋体" w:hAnsi="宋体" w:eastAsia="宋体" w:cs="宋体"/>
                <w:color w:val="000000"/>
                <w:lang w:bidi="ar"/>
              </w:rPr>
              <w:t xml:space="preserve"> </w:t>
            </w:r>
          </w:p>
        </w:tc>
      </w:tr>
      <w:tr>
        <w:tblPrEx>
          <w:tblCellMar>
            <w:top w:w="0" w:type="dxa"/>
            <w:left w:w="108" w:type="dxa"/>
            <w:bottom w:w="0" w:type="dxa"/>
            <w:right w:w="108" w:type="dxa"/>
          </w:tblCellMar>
        </w:tblPrEx>
        <w:trPr>
          <w:trHeight w:val="484"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outlineLvl w:val="9"/>
              <w:rPr>
                <w:rFonts w:ascii="宋体" w:hAnsi="宋体" w:eastAsia="宋体" w:cs="宋体"/>
                <w:color w:val="000000"/>
              </w:rPr>
            </w:pPr>
            <w:r>
              <w:rPr>
                <w:rFonts w:hint="eastAsia" w:ascii="宋体" w:hAnsi="宋体" w:eastAsia="宋体" w:cs="宋体"/>
                <w:color w:val="000000"/>
                <w:lang w:bidi="ar"/>
              </w:rPr>
              <w:t>得分率</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100</w:t>
            </w:r>
            <w:r>
              <w:rPr>
                <w:rFonts w:hint="eastAsia" w:ascii="宋体" w:hAnsi="宋体" w:eastAsia="宋体" w:cs="宋体"/>
                <w:color w:val="000000"/>
                <w:lang w:bidi="ar"/>
              </w:rPr>
              <w:t>.00%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95.00</w:t>
            </w:r>
            <w:r>
              <w:rPr>
                <w:rFonts w:hint="eastAsia" w:ascii="宋体" w:hAnsi="宋体" w:eastAsia="宋体" w:cs="宋体"/>
                <w:color w:val="000000"/>
                <w:lang w:bidi="ar"/>
              </w:rPr>
              <w:t>%</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76.67</w:t>
            </w:r>
            <w:r>
              <w:rPr>
                <w:rFonts w:hint="eastAsia" w:ascii="宋体" w:hAnsi="宋体" w:eastAsia="宋体" w:cs="宋体"/>
                <w:color w:val="000000"/>
                <w:lang w:bidi="ar"/>
              </w:rPr>
              <w:t>%</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100</w:t>
            </w:r>
            <w:r>
              <w:rPr>
                <w:rFonts w:hint="eastAsia" w:ascii="宋体" w:hAnsi="宋体" w:eastAsia="宋体" w:cs="宋体"/>
                <w:color w:val="000000"/>
                <w:lang w:bidi="ar"/>
              </w:rPr>
              <w:t>.00%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92.00</w:t>
            </w:r>
            <w:r>
              <w:rPr>
                <w:rFonts w:hint="eastAsia" w:ascii="宋体" w:hAnsi="宋体" w:eastAsia="宋体" w:cs="宋体"/>
                <w:color w:val="000000"/>
                <w:lang w:bidi="ar"/>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Times New Roman" w:hAnsi="Times New Roman" w:cs="Times New Roman"/>
          <w:sz w:val="32"/>
          <w:szCs w:val="32"/>
          <w:highlight w:val="none"/>
        </w:rPr>
      </w:pPr>
      <w:r>
        <w:rPr>
          <w:rFonts w:hint="eastAsia" w:ascii="Times New Roman" w:hAnsi="Times New Roman" w:cs="Times New Roman"/>
          <w:sz w:val="32"/>
          <w:szCs w:val="32"/>
          <w:highlight w:val="none"/>
        </w:rPr>
        <w:t>（2）评价结论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ascii="Times New Roman" w:hAnsi="Times New Roman" w:cs="Times New Roman"/>
          <w:sz w:val="32"/>
          <w:szCs w:val="32"/>
          <w:highlight w:val="yellow"/>
        </w:rPr>
      </w:pPr>
      <w:r>
        <w:rPr>
          <w:rFonts w:hint="eastAsia" w:ascii="仿宋_GB2312" w:hAnsi="仿宋_GB2312" w:eastAsia="仿宋_GB2312" w:cs="仿宋_GB2312"/>
          <w:sz w:val="32"/>
          <w:szCs w:val="32"/>
          <w:highlight w:val="none"/>
          <w:lang w:val="en-US" w:eastAsia="zh-CN" w:bidi="ar-SA"/>
        </w:rPr>
        <w:t>中南高科•晋中通用设备智造未来城产业园项目地块范围内建筑垃圾、水渠及鱼塘清淤和回填工程</w:t>
      </w:r>
      <w:r>
        <w:rPr>
          <w:rFonts w:hint="eastAsia" w:ascii="仿宋_GB2312" w:hAnsi="仿宋_GB2312" w:eastAsia="仿宋_GB2312" w:cs="仿宋_GB2312"/>
          <w:color w:val="000000"/>
          <w:sz w:val="32"/>
          <w:szCs w:val="32"/>
          <w:highlight w:val="none"/>
          <w:lang w:val="en-US" w:eastAsia="zh-CN"/>
        </w:rPr>
        <w:t>项目</w:t>
      </w:r>
      <w:r>
        <w:rPr>
          <w:rFonts w:hint="eastAsia" w:ascii="仿宋_GB2312" w:hAnsi="仿宋_GB2312" w:eastAsia="仿宋_GB2312" w:cs="仿宋_GB2312"/>
          <w:sz w:val="32"/>
          <w:szCs w:val="32"/>
          <w:highlight w:val="none"/>
        </w:rPr>
        <w:t>整</w:t>
      </w:r>
      <w:r>
        <w:rPr>
          <w:rFonts w:hint="eastAsia" w:ascii="仿宋_GB2312" w:hAnsi="仿宋_GB2312" w:eastAsia="仿宋_GB2312" w:cs="仿宋_GB2312"/>
          <w:color w:val="000000"/>
          <w:sz w:val="32"/>
          <w:szCs w:val="32"/>
          <w:highlight w:val="none"/>
        </w:rPr>
        <w:t>体情况较好。比如，项目立项依据充分，立项程序规范，社会效益显著。但也存在一些问题，如：</w:t>
      </w:r>
      <w:r>
        <w:rPr>
          <w:rFonts w:hint="eastAsia" w:cs="仿宋_GB2312"/>
          <w:color w:val="000000"/>
          <w:sz w:val="32"/>
          <w:szCs w:val="32"/>
          <w:highlight w:val="none"/>
          <w:lang w:val="en-US" w:eastAsia="zh-CN"/>
        </w:rPr>
        <w:t>制度执行不足、施工过程资料缺失。</w:t>
      </w:r>
    </w:p>
    <w:p>
      <w:pPr>
        <w:spacing w:line="360" w:lineRule="auto"/>
        <w:ind w:firstLine="640" w:firstLineChars="200"/>
        <w:outlineLvl w:val="9"/>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存在的问题</w:t>
      </w:r>
    </w:p>
    <w:p>
      <w:pPr>
        <w:spacing w:line="360" w:lineRule="auto"/>
        <w:ind w:firstLine="643" w:firstLineChars="200"/>
        <w:jc w:val="both"/>
        <w:outlineLvl w:val="9"/>
        <w:rPr>
          <w:rFonts w:hint="default" w:ascii="仿宋_GB2312" w:hAnsi="仿宋_GB2312" w:eastAsia="仿宋_GB2312" w:cs="仿宋_GB2312"/>
          <w:b/>
          <w:bCs/>
          <w:sz w:val="32"/>
          <w:szCs w:val="32"/>
          <w:highlight w:val="none"/>
          <w:lang w:val="en-US" w:eastAsia="zh-CN" w:bidi="ar-SA"/>
        </w:rPr>
      </w:pPr>
      <w:r>
        <w:rPr>
          <w:rFonts w:hint="eastAsia" w:cs="仿宋_GB2312"/>
          <w:b/>
          <w:bCs/>
          <w:sz w:val="32"/>
          <w:szCs w:val="32"/>
          <w:highlight w:val="none"/>
          <w:lang w:val="en-US" w:eastAsia="zh-CN" w:bidi="ar-SA"/>
        </w:rPr>
        <w:t>项目业务制度执行不到位，工程资料不足</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firstLine="640" w:firstLineChars="200"/>
        <w:jc w:val="both"/>
        <w:textAlignment w:val="auto"/>
        <w:outlineLvl w:val="9"/>
        <w:rPr>
          <w:rFonts w:ascii="Times New Roman" w:hAnsi="Times New Roman" w:cs="Times New Roman"/>
          <w:sz w:val="11"/>
          <w:highlight w:val="none"/>
        </w:rPr>
      </w:pPr>
      <w:r>
        <w:rPr>
          <w:rFonts w:hint="eastAsia" w:ascii="仿宋_GB2312" w:hAnsi="仿宋_GB2312" w:eastAsia="仿宋_GB2312" w:cs="仿宋_GB2312"/>
          <w:sz w:val="32"/>
          <w:szCs w:val="32"/>
          <w:highlight w:val="none"/>
          <w:lang w:val="en-US" w:eastAsia="zh-CN"/>
        </w:rPr>
        <w:t>工程项目已全部按时完成工作，同时符合中南高科•晋中通用设备智造未来城产业园项目前期清表工作要求。但在项目实施过程中没有按照业务制度执行，没有形成开工报告、完工报告、验收报告，工程资料缺失。</w:t>
      </w:r>
    </w:p>
    <w:p>
      <w:pPr>
        <w:spacing w:line="360" w:lineRule="auto"/>
        <w:ind w:firstLine="640" w:firstLineChars="200"/>
        <w:outlineLvl w:val="9"/>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三、下一步改进建议</w:t>
      </w:r>
    </w:p>
    <w:p>
      <w:pPr>
        <w:spacing w:line="360" w:lineRule="auto"/>
        <w:ind w:firstLine="643" w:firstLineChars="200"/>
        <w:jc w:val="both"/>
        <w:outlineLvl w:val="9"/>
        <w:rPr>
          <w:rFonts w:hint="eastAsia" w:cs="仿宋_GB2312"/>
          <w:b/>
          <w:bCs/>
          <w:sz w:val="32"/>
          <w:szCs w:val="32"/>
          <w:highlight w:val="none"/>
          <w:lang w:val="en-US" w:eastAsia="zh-CN" w:bidi="ar-SA"/>
        </w:rPr>
      </w:pPr>
      <w:r>
        <w:rPr>
          <w:rFonts w:hint="eastAsia" w:cs="仿宋_GB2312"/>
          <w:b/>
          <w:bCs/>
          <w:sz w:val="32"/>
          <w:szCs w:val="32"/>
          <w:highlight w:val="none"/>
          <w:lang w:val="en-US" w:eastAsia="zh-CN" w:bidi="ar-SA"/>
        </w:rPr>
        <w:t>加强制度执行有效性，保证工程资料完整</w:t>
      </w:r>
    </w:p>
    <w:p>
      <w:pPr>
        <w:widowControl/>
        <w:spacing w:line="360" w:lineRule="auto"/>
        <w:jc w:val="both"/>
        <w:rPr>
          <w:rFonts w:hint="eastAsia" w:ascii="Times New Roman" w:hAnsi="Times New Roman" w:eastAsia="仿宋" w:cs="Times New Roman"/>
          <w:sz w:val="32"/>
          <w:szCs w:val="32"/>
          <w:lang w:eastAsia="zh-CN"/>
        </w:rPr>
      </w:pPr>
      <w:r>
        <w:rPr>
          <w:rFonts w:hint="eastAsia" w:ascii="仿宋_GB2312" w:hAnsi="仿宋_GB2312" w:eastAsia="仿宋_GB2312" w:cs="仿宋_GB2312"/>
          <w:sz w:val="32"/>
          <w:szCs w:val="32"/>
          <w:highlight w:val="none"/>
          <w:lang w:val="en-US" w:eastAsia="zh-CN" w:bidi="ar-SA"/>
        </w:rPr>
        <w:t>加强</w:t>
      </w:r>
      <w:r>
        <w:rPr>
          <w:rFonts w:hint="eastAsia" w:cs="仿宋_GB2312"/>
          <w:sz w:val="32"/>
          <w:szCs w:val="32"/>
          <w:highlight w:val="none"/>
          <w:lang w:val="en-US" w:eastAsia="zh-CN" w:bidi="ar-SA"/>
        </w:rPr>
        <w:t>项目施工、</w:t>
      </w:r>
      <w:r>
        <w:rPr>
          <w:rFonts w:hint="eastAsia" w:ascii="仿宋_GB2312" w:hAnsi="仿宋_GB2312" w:eastAsia="仿宋_GB2312" w:cs="仿宋_GB2312"/>
          <w:sz w:val="32"/>
          <w:szCs w:val="32"/>
          <w:highlight w:val="none"/>
          <w:lang w:val="en-US" w:eastAsia="zh-CN" w:bidi="ar-SA"/>
        </w:rPr>
        <w:t>竣工验收管理，强化制度指导和政策引导，严格按</w:t>
      </w:r>
      <w:r>
        <w:rPr>
          <w:rFonts w:hint="eastAsia" w:cs="仿宋_GB2312"/>
          <w:sz w:val="32"/>
          <w:szCs w:val="32"/>
          <w:highlight w:val="none"/>
          <w:lang w:val="en-US" w:eastAsia="zh-CN" w:bidi="ar-SA"/>
        </w:rPr>
        <w:t>项目业务管理制度</w:t>
      </w:r>
      <w:r>
        <w:rPr>
          <w:rFonts w:hint="eastAsia" w:ascii="仿宋_GB2312" w:hAnsi="仿宋_GB2312" w:eastAsia="仿宋_GB2312" w:cs="仿宋_GB2312"/>
          <w:sz w:val="32"/>
          <w:szCs w:val="32"/>
          <w:highlight w:val="none"/>
          <w:lang w:val="en-US" w:eastAsia="zh-CN" w:bidi="ar-SA"/>
        </w:rPr>
        <w:t>有关规定执行，提高管理水平，保障项目实施过程完整、合规。</w:t>
      </w:r>
      <w:bookmarkEnd w:id="3"/>
      <w:bookmarkStart w:id="4" w:name="_GoBack"/>
      <w:bookmarkEnd w:id="4"/>
    </w:p>
    <w:sectPr>
      <w:headerReference r:id="rId5" w:type="default"/>
      <w:footerReference r:id="rId7" w:type="default"/>
      <w:headerReference r:id="rId6" w:type="even"/>
      <w:footerReference r:id="rId8" w:type="even"/>
      <w:pgSz w:w="11905" w:h="16838"/>
      <w:pgMar w:top="1440" w:right="1797" w:bottom="1440" w:left="1797" w:header="851" w:footer="992"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shape id="docshape59" o:spid="_x0000_s3083" o:spt="202" type="#_x0000_t202" style="position:absolute;left:0pt;margin-left:75.8pt;margin-top:770.1pt;height:17.6pt;width:38.7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Pr>
                    <w:rFonts w:ascii="Times New Roman"/>
                    <w:sz w:val="28"/>
                  </w:rPr>
                </w:pPr>
                <w:r>
                  <w:rPr>
                    <w:rFonts w:ascii="Times New Roman"/>
                    <w:sz w:val="28"/>
                  </w:rPr>
                  <w:t>-</w:t>
                </w:r>
                <w:r>
                  <w:rPr>
                    <w:rFonts w:ascii="Times New Roman"/>
                    <w:spacing w:val="-1"/>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rPr>
                    <w:rFonts w:ascii="Times New Roman"/>
                    <w:sz w:val="28"/>
                  </w:rPr>
                  <w:t>116</w:t>
                </w:r>
                <w:r>
                  <w:rPr>
                    <w:rFonts w:ascii="Times New Roman"/>
                    <w:sz w:val="28"/>
                  </w:rPr>
                  <w:fldChar w:fldCharType="end"/>
                </w:r>
                <w:r>
                  <w:rPr>
                    <w:rFonts w:ascii="Times New Roman"/>
                    <w:spacing w:val="-5"/>
                    <w:sz w:val="28"/>
                  </w:rPr>
                  <w:t xml:space="preserve"> </w:t>
                </w:r>
                <w:r>
                  <w:rPr>
                    <w:rFonts w:ascii="Times New Roman"/>
                    <w:spacing w:val="-10"/>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rect id="docshape56" o:spid="_x0000_s3081" o:spt="1" style="position:absolute;left:0pt;margin-left:76.55pt;margin-top:61.05pt;height:0.45pt;width:442.2pt;mso-position-horizontal-relative:page;mso-position-vertical-relative:page;z-index:-251657216;mso-width-relative:page;mso-height-relative:page;" fillcolor="#000000" filled="t" stroked="f" coordsize="21600,21600">
          <v:path/>
          <v:fill on="t" focussize="0,0"/>
          <v:stroke on="f"/>
          <v:imagedata o:title=""/>
          <o:lock v:ext="edit"/>
        </v:rect>
      </w:pict>
    </w:r>
    <w:r>
      <w:pict>
        <v:shape id="docshape57" o:spid="_x0000_s3082" o:spt="202" type="#_x0000_t202" style="position:absolute;left:0pt;margin-left:172.85pt;margin-top:42.9pt;height:11pt;width:249.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pacing w:val="-12"/>
                    <w:sz w:val="18"/>
                  </w:rPr>
                  <w:t xml:space="preserve">吕梁市 </w:t>
                </w:r>
                <w:r>
                  <w:rPr>
                    <w:rFonts w:hint="eastAsia"/>
                    <w:sz w:val="18"/>
                  </w:rPr>
                  <w:t>2021年</w:t>
                </w:r>
                <w:r>
                  <w:rPr>
                    <w:spacing w:val="-8"/>
                    <w:sz w:val="18"/>
                  </w:rPr>
                  <w:t>公交车运营补贴项目支出绩效评价工作实施方案</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3"/>
    </o:shapelayout>
  </w:hdrShapeDefaults>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ViOWEwOWVlOGEzMWU2NDE1NjdhZmI2ZWI1YzIxZDAifQ=="/>
  </w:docVars>
  <w:rsids>
    <w:rsidRoot w:val="00AA6D74"/>
    <w:rsid w:val="00080CF4"/>
    <w:rsid w:val="00087BE8"/>
    <w:rsid w:val="000A1C93"/>
    <w:rsid w:val="000E3BA0"/>
    <w:rsid w:val="000F3103"/>
    <w:rsid w:val="00103F3E"/>
    <w:rsid w:val="00117767"/>
    <w:rsid w:val="0013706A"/>
    <w:rsid w:val="00146E30"/>
    <w:rsid w:val="00181FA6"/>
    <w:rsid w:val="00193219"/>
    <w:rsid w:val="001A12D4"/>
    <w:rsid w:val="001B5C47"/>
    <w:rsid w:val="00205949"/>
    <w:rsid w:val="002366DF"/>
    <w:rsid w:val="002509F7"/>
    <w:rsid w:val="002703D6"/>
    <w:rsid w:val="00284A99"/>
    <w:rsid w:val="0028511B"/>
    <w:rsid w:val="00291B1C"/>
    <w:rsid w:val="00292793"/>
    <w:rsid w:val="002A02AF"/>
    <w:rsid w:val="002A773C"/>
    <w:rsid w:val="002F1DF0"/>
    <w:rsid w:val="002F519E"/>
    <w:rsid w:val="003046C4"/>
    <w:rsid w:val="00305F94"/>
    <w:rsid w:val="003175D3"/>
    <w:rsid w:val="00322E76"/>
    <w:rsid w:val="0035659A"/>
    <w:rsid w:val="003872E7"/>
    <w:rsid w:val="003A78B4"/>
    <w:rsid w:val="003B406E"/>
    <w:rsid w:val="003B412C"/>
    <w:rsid w:val="003D4743"/>
    <w:rsid w:val="003D7156"/>
    <w:rsid w:val="0042401E"/>
    <w:rsid w:val="00431647"/>
    <w:rsid w:val="00434797"/>
    <w:rsid w:val="004468A0"/>
    <w:rsid w:val="00482807"/>
    <w:rsid w:val="004A2E03"/>
    <w:rsid w:val="004C254E"/>
    <w:rsid w:val="004E5B17"/>
    <w:rsid w:val="00501521"/>
    <w:rsid w:val="005110D5"/>
    <w:rsid w:val="005425C3"/>
    <w:rsid w:val="005C1BEA"/>
    <w:rsid w:val="005C4970"/>
    <w:rsid w:val="005D6A50"/>
    <w:rsid w:val="005E4E75"/>
    <w:rsid w:val="006026C1"/>
    <w:rsid w:val="006334FF"/>
    <w:rsid w:val="00657DD9"/>
    <w:rsid w:val="006B489C"/>
    <w:rsid w:val="006F2088"/>
    <w:rsid w:val="00701203"/>
    <w:rsid w:val="00727CC7"/>
    <w:rsid w:val="00740580"/>
    <w:rsid w:val="007D6E48"/>
    <w:rsid w:val="007D707C"/>
    <w:rsid w:val="00801A2C"/>
    <w:rsid w:val="00813131"/>
    <w:rsid w:val="00815B35"/>
    <w:rsid w:val="00831B74"/>
    <w:rsid w:val="0084126E"/>
    <w:rsid w:val="00842CF3"/>
    <w:rsid w:val="00871208"/>
    <w:rsid w:val="00871A7D"/>
    <w:rsid w:val="00891933"/>
    <w:rsid w:val="008A16C2"/>
    <w:rsid w:val="008B7D00"/>
    <w:rsid w:val="008C0EF6"/>
    <w:rsid w:val="008C2A02"/>
    <w:rsid w:val="008D5BD6"/>
    <w:rsid w:val="008E1175"/>
    <w:rsid w:val="008E7772"/>
    <w:rsid w:val="008F2244"/>
    <w:rsid w:val="00902BF1"/>
    <w:rsid w:val="00993F83"/>
    <w:rsid w:val="009C1E7E"/>
    <w:rsid w:val="009C3067"/>
    <w:rsid w:val="009D319D"/>
    <w:rsid w:val="009F7AC7"/>
    <w:rsid w:val="00A02BD8"/>
    <w:rsid w:val="00A34359"/>
    <w:rsid w:val="00A5148B"/>
    <w:rsid w:val="00A672FB"/>
    <w:rsid w:val="00A867C1"/>
    <w:rsid w:val="00A9678B"/>
    <w:rsid w:val="00AA6D74"/>
    <w:rsid w:val="00AA7DBC"/>
    <w:rsid w:val="00AE64E2"/>
    <w:rsid w:val="00AF4400"/>
    <w:rsid w:val="00B20FEF"/>
    <w:rsid w:val="00B227F4"/>
    <w:rsid w:val="00B46E5B"/>
    <w:rsid w:val="00B523D2"/>
    <w:rsid w:val="00B92676"/>
    <w:rsid w:val="00BB5177"/>
    <w:rsid w:val="00BC656D"/>
    <w:rsid w:val="00C075C6"/>
    <w:rsid w:val="00C52484"/>
    <w:rsid w:val="00C87B90"/>
    <w:rsid w:val="00C96586"/>
    <w:rsid w:val="00CA0C04"/>
    <w:rsid w:val="00CC5E6F"/>
    <w:rsid w:val="00CD73D6"/>
    <w:rsid w:val="00CE6269"/>
    <w:rsid w:val="00CF0225"/>
    <w:rsid w:val="00D1461E"/>
    <w:rsid w:val="00D34572"/>
    <w:rsid w:val="00D3615D"/>
    <w:rsid w:val="00D3648E"/>
    <w:rsid w:val="00D95ADE"/>
    <w:rsid w:val="00DC238A"/>
    <w:rsid w:val="00DE4C42"/>
    <w:rsid w:val="00DF0A7E"/>
    <w:rsid w:val="00DF2D49"/>
    <w:rsid w:val="00DF50A4"/>
    <w:rsid w:val="00E13E3E"/>
    <w:rsid w:val="00E55FE0"/>
    <w:rsid w:val="00E60FF2"/>
    <w:rsid w:val="00E86EA1"/>
    <w:rsid w:val="00EB3AFD"/>
    <w:rsid w:val="00EE725B"/>
    <w:rsid w:val="00F02C29"/>
    <w:rsid w:val="00F22FA3"/>
    <w:rsid w:val="00F367DF"/>
    <w:rsid w:val="00F53147"/>
    <w:rsid w:val="00F86223"/>
    <w:rsid w:val="00F900AB"/>
    <w:rsid w:val="00FA451D"/>
    <w:rsid w:val="00FA4564"/>
    <w:rsid w:val="00FE18A5"/>
    <w:rsid w:val="00FF408B"/>
    <w:rsid w:val="01096BA9"/>
    <w:rsid w:val="02CE773E"/>
    <w:rsid w:val="033D6629"/>
    <w:rsid w:val="06012F7C"/>
    <w:rsid w:val="06077A30"/>
    <w:rsid w:val="07B40FAC"/>
    <w:rsid w:val="08D57B7E"/>
    <w:rsid w:val="092D32CF"/>
    <w:rsid w:val="0AC4022E"/>
    <w:rsid w:val="0AFD1173"/>
    <w:rsid w:val="0C3F70A9"/>
    <w:rsid w:val="0D1809D5"/>
    <w:rsid w:val="0EC622AB"/>
    <w:rsid w:val="0EE80983"/>
    <w:rsid w:val="0F1929B2"/>
    <w:rsid w:val="10E062C6"/>
    <w:rsid w:val="11FC3E71"/>
    <w:rsid w:val="138228A6"/>
    <w:rsid w:val="143D59FC"/>
    <w:rsid w:val="15D207BD"/>
    <w:rsid w:val="16E44BC1"/>
    <w:rsid w:val="174935DD"/>
    <w:rsid w:val="17B96FA4"/>
    <w:rsid w:val="188A13C7"/>
    <w:rsid w:val="18A02CD0"/>
    <w:rsid w:val="193838BA"/>
    <w:rsid w:val="199D4082"/>
    <w:rsid w:val="1A1E2FFF"/>
    <w:rsid w:val="1A8C6608"/>
    <w:rsid w:val="1AA83A1B"/>
    <w:rsid w:val="1ADF1BCA"/>
    <w:rsid w:val="1B0A5D12"/>
    <w:rsid w:val="1D0C1476"/>
    <w:rsid w:val="1E1634EA"/>
    <w:rsid w:val="1E247152"/>
    <w:rsid w:val="1F5B5B4D"/>
    <w:rsid w:val="205221A1"/>
    <w:rsid w:val="21643A46"/>
    <w:rsid w:val="21D13D7E"/>
    <w:rsid w:val="22C356D2"/>
    <w:rsid w:val="24A70968"/>
    <w:rsid w:val="24F15196"/>
    <w:rsid w:val="262A0FF4"/>
    <w:rsid w:val="28213131"/>
    <w:rsid w:val="2A4C2C1C"/>
    <w:rsid w:val="2AE43415"/>
    <w:rsid w:val="2B331109"/>
    <w:rsid w:val="2B35529C"/>
    <w:rsid w:val="2D137754"/>
    <w:rsid w:val="2D2B5676"/>
    <w:rsid w:val="3004392D"/>
    <w:rsid w:val="30D61F32"/>
    <w:rsid w:val="31692558"/>
    <w:rsid w:val="321B41FC"/>
    <w:rsid w:val="33FB33E1"/>
    <w:rsid w:val="348B6E58"/>
    <w:rsid w:val="358E600D"/>
    <w:rsid w:val="36182010"/>
    <w:rsid w:val="37256772"/>
    <w:rsid w:val="395650B5"/>
    <w:rsid w:val="39BF1BCD"/>
    <w:rsid w:val="39F843C6"/>
    <w:rsid w:val="3AC9360C"/>
    <w:rsid w:val="3B8735FE"/>
    <w:rsid w:val="3C7922B9"/>
    <w:rsid w:val="3CF72DD1"/>
    <w:rsid w:val="3E1C4783"/>
    <w:rsid w:val="3F0C6651"/>
    <w:rsid w:val="401E57AD"/>
    <w:rsid w:val="41EE51C5"/>
    <w:rsid w:val="43735BE8"/>
    <w:rsid w:val="479973F2"/>
    <w:rsid w:val="48561D50"/>
    <w:rsid w:val="4C714C8A"/>
    <w:rsid w:val="4E431415"/>
    <w:rsid w:val="4EAD7835"/>
    <w:rsid w:val="4ECB1645"/>
    <w:rsid w:val="4FDD43D8"/>
    <w:rsid w:val="53BA416E"/>
    <w:rsid w:val="55246586"/>
    <w:rsid w:val="574768CF"/>
    <w:rsid w:val="57DE6BA2"/>
    <w:rsid w:val="5BB10230"/>
    <w:rsid w:val="5D791068"/>
    <w:rsid w:val="5E337D5A"/>
    <w:rsid w:val="5EB62ABA"/>
    <w:rsid w:val="5F147D62"/>
    <w:rsid w:val="61B15CAC"/>
    <w:rsid w:val="6267026A"/>
    <w:rsid w:val="632A1717"/>
    <w:rsid w:val="644319E8"/>
    <w:rsid w:val="65F80FDA"/>
    <w:rsid w:val="65F8526F"/>
    <w:rsid w:val="687E6D2A"/>
    <w:rsid w:val="68B62969"/>
    <w:rsid w:val="68CB3FC4"/>
    <w:rsid w:val="69236376"/>
    <w:rsid w:val="6D8D3EC4"/>
    <w:rsid w:val="6EA619C8"/>
    <w:rsid w:val="6F991623"/>
    <w:rsid w:val="70701D93"/>
    <w:rsid w:val="70763E59"/>
    <w:rsid w:val="717E08C8"/>
    <w:rsid w:val="738B0ADC"/>
    <w:rsid w:val="73EC096B"/>
    <w:rsid w:val="73F86B62"/>
    <w:rsid w:val="74F51705"/>
    <w:rsid w:val="76F32E41"/>
    <w:rsid w:val="7B796005"/>
    <w:rsid w:val="7C9D09AC"/>
    <w:rsid w:val="7CE73EC1"/>
    <w:rsid w:val="7D5E1BFC"/>
    <w:rsid w:val="7DFA2F7D"/>
    <w:rsid w:val="7F90693B"/>
    <w:rsid w:val="7FE4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en-US" w:eastAsia="zh-CN" w:bidi="ar-SA"/>
    </w:rPr>
  </w:style>
  <w:style w:type="paragraph" w:styleId="3">
    <w:name w:val="heading 1"/>
    <w:basedOn w:val="1"/>
    <w:next w:val="1"/>
    <w:autoRedefine/>
    <w:qFormat/>
    <w:uiPriority w:val="1"/>
    <w:pPr>
      <w:spacing w:before="214"/>
      <w:ind w:left="1113" w:hanging="243"/>
      <w:outlineLvl w:val="0"/>
    </w:pPr>
    <w:rPr>
      <w:b/>
      <w:bCs/>
      <w:sz w:val="32"/>
      <w:szCs w:val="32"/>
    </w:rPr>
  </w:style>
  <w:style w:type="paragraph" w:styleId="4">
    <w:name w:val="heading 2"/>
    <w:basedOn w:val="1"/>
    <w:next w:val="1"/>
    <w:semiHidden/>
    <w:unhideWhenUsed/>
    <w:qFormat/>
    <w:uiPriority w:val="0"/>
    <w:pPr>
      <w:spacing w:beforeAutospacing="1" w:afterAutospacing="1"/>
      <w:outlineLvl w:val="1"/>
    </w:pPr>
    <w:rPr>
      <w:rFonts w:hint="eastAsia" w:ascii="宋体" w:hAnsi="宋体" w:eastAsia="宋体" w:cs="Times New Roman"/>
      <w:b/>
      <w:bCs/>
      <w:sz w:val="36"/>
      <w:szCs w:val="36"/>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eastAsia="宋体" w:cs="Arial"/>
      <w:sz w:val="24"/>
    </w:rPr>
  </w:style>
  <w:style w:type="paragraph" w:styleId="5">
    <w:name w:val="Body Text"/>
    <w:basedOn w:val="1"/>
    <w:link w:val="32"/>
    <w:autoRedefine/>
    <w:qFormat/>
    <w:uiPriority w:val="1"/>
    <w:pPr>
      <w:spacing w:before="214"/>
      <w:ind w:left="231"/>
    </w:pPr>
    <w:rPr>
      <w:sz w:val="32"/>
      <w:szCs w:val="32"/>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
    <w:next w:val="1"/>
    <w:autoRedefine/>
    <w:qFormat/>
    <w:uiPriority w:val="39"/>
  </w:style>
  <w:style w:type="paragraph" w:styleId="10">
    <w:name w:val="toc 2"/>
    <w:basedOn w:val="1"/>
    <w:next w:val="1"/>
    <w:qFormat/>
    <w:uiPriority w:val="39"/>
    <w:pPr>
      <w:ind w:left="420" w:leftChars="200"/>
    </w:pPr>
  </w:style>
  <w:style w:type="paragraph" w:styleId="11">
    <w:name w:val="Normal (Web)"/>
    <w:basedOn w:val="1"/>
    <w:autoRedefine/>
    <w:unhideWhenUsed/>
    <w:qFormat/>
    <w:uiPriority w:val="99"/>
    <w:pPr>
      <w:widowControl/>
      <w:spacing w:before="100" w:beforeAutospacing="1" w:after="100" w:afterAutospacing="1"/>
    </w:pPr>
    <w:rPr>
      <w:rFonts w:ascii="宋体" w:hAnsi="宋体" w:eastAsia="宋体" w:cs="宋体"/>
      <w:sz w:val="24"/>
      <w:szCs w:val="24"/>
    </w:rPr>
  </w:style>
  <w:style w:type="paragraph" w:styleId="12">
    <w:name w:val="Title"/>
    <w:basedOn w:val="1"/>
    <w:next w:val="1"/>
    <w:autoRedefine/>
    <w:qFormat/>
    <w:uiPriority w:val="0"/>
    <w:pPr>
      <w:spacing w:line="360" w:lineRule="auto"/>
      <w:jc w:val="center"/>
      <w:outlineLvl w:val="0"/>
    </w:pPr>
    <w:rPr>
      <w:rFonts w:ascii="Arial" w:hAnsi="Arial" w:cs="Arial"/>
      <w:b/>
      <w:bCs/>
      <w:sz w:val="32"/>
      <w:szCs w:val="32"/>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table" w:customStyle="1" w:styleId="16">
    <w:name w:val="Table Normal"/>
    <w:autoRedefine/>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214"/>
      <w:ind w:left="1113" w:hanging="243"/>
    </w:pPr>
  </w:style>
  <w:style w:type="paragraph" w:customStyle="1" w:styleId="18">
    <w:name w:val="Table Paragraph"/>
    <w:basedOn w:val="1"/>
    <w:qFormat/>
    <w:uiPriority w:val="1"/>
    <w:rPr>
      <w:rFonts w:ascii="宋体" w:hAnsi="宋体" w:eastAsia="宋体" w:cs="宋体"/>
    </w:rPr>
  </w:style>
  <w:style w:type="character" w:customStyle="1" w:styleId="19">
    <w:name w:val="font61"/>
    <w:basedOn w:val="14"/>
    <w:qFormat/>
    <w:uiPriority w:val="0"/>
    <w:rPr>
      <w:rFonts w:hint="default" w:ascii="Times New Roman" w:hAnsi="Times New Roman" w:cs="Times New Roman"/>
      <w:color w:val="000000"/>
      <w:sz w:val="22"/>
      <w:szCs w:val="22"/>
      <w:u w:val="none"/>
    </w:rPr>
  </w:style>
  <w:style w:type="character" w:customStyle="1" w:styleId="20">
    <w:name w:val="font41"/>
    <w:basedOn w:val="14"/>
    <w:qFormat/>
    <w:uiPriority w:val="0"/>
    <w:rPr>
      <w:rFonts w:hint="eastAsia" w:ascii="宋体" w:hAnsi="宋体" w:eastAsia="宋体" w:cs="宋体"/>
      <w:color w:val="000000"/>
      <w:sz w:val="22"/>
      <w:szCs w:val="22"/>
      <w:u w:val="none"/>
    </w:rPr>
  </w:style>
  <w:style w:type="character" w:customStyle="1" w:styleId="21">
    <w:name w:val="font11"/>
    <w:basedOn w:val="14"/>
    <w:qFormat/>
    <w:uiPriority w:val="0"/>
    <w:rPr>
      <w:rFonts w:hint="eastAsia" w:ascii="黑体" w:hAnsi="宋体" w:eastAsia="黑体" w:cs="黑体"/>
      <w:color w:val="000000"/>
      <w:sz w:val="22"/>
      <w:szCs w:val="22"/>
      <w:u w:val="none"/>
    </w:rPr>
  </w:style>
  <w:style w:type="character" w:customStyle="1" w:styleId="22">
    <w:name w:val="font21"/>
    <w:basedOn w:val="14"/>
    <w:qFormat/>
    <w:uiPriority w:val="0"/>
    <w:rPr>
      <w:rFonts w:ascii="仿宋_GB2312" w:eastAsia="仿宋_GB2312" w:cs="仿宋_GB2312"/>
      <w:color w:val="000000"/>
      <w:sz w:val="20"/>
      <w:szCs w:val="20"/>
      <w:u w:val="none"/>
    </w:rPr>
  </w:style>
  <w:style w:type="paragraph" w:customStyle="1" w:styleId="23">
    <w:name w:val="闻政正文"/>
    <w:basedOn w:val="1"/>
    <w:autoRedefine/>
    <w:qFormat/>
    <w:uiPriority w:val="0"/>
    <w:pPr>
      <w:spacing w:line="500" w:lineRule="exact"/>
      <w:ind w:firstLine="560" w:firstLineChars="200"/>
    </w:pPr>
    <w:rPr>
      <w:rFonts w:ascii="Times New Roman" w:hAnsi="Times New Roman" w:cs="Times New Roman"/>
      <w:sz w:val="28"/>
      <w:szCs w:val="28"/>
    </w:rPr>
  </w:style>
  <w:style w:type="paragraph" w:customStyle="1" w:styleId="24">
    <w:name w:val="列出段落1"/>
    <w:basedOn w:val="1"/>
    <w:qFormat/>
    <w:uiPriority w:val="0"/>
    <w:pPr>
      <w:ind w:firstLine="420" w:firstLineChars="200"/>
    </w:pPr>
    <w:rPr>
      <w:rFonts w:ascii="Calibri" w:hAnsi="Calibri" w:eastAsia="宋体" w:cs="Calibri"/>
      <w:szCs w:val="21"/>
    </w:rPr>
  </w:style>
  <w:style w:type="paragraph" w:customStyle="1" w:styleId="25">
    <w:name w:val="question-temp"/>
    <w:basedOn w:val="1"/>
    <w:qFormat/>
    <w:uiPriority w:val="0"/>
    <w:pPr>
      <w:spacing w:after="60"/>
    </w:pPr>
    <w:rPr>
      <w:rFonts w:ascii="微软雅黑" w:hAnsi="微软雅黑" w:eastAsia="微软雅黑" w:cs="微软雅黑"/>
      <w:sz w:val="18"/>
      <w:szCs w:val="18"/>
    </w:rPr>
  </w:style>
  <w:style w:type="paragraph" w:customStyle="1" w:styleId="26">
    <w:name w:val="WPSOffice手动目录 1"/>
    <w:autoRedefine/>
    <w:qFormat/>
    <w:uiPriority w:val="0"/>
    <w:rPr>
      <w:rFonts w:ascii="Times New Roman" w:hAnsi="Times New Roman" w:eastAsia="宋体" w:cs="Times New Roman"/>
      <w:lang w:val="en-US" w:eastAsia="zh-CN" w:bidi="ar-SA"/>
    </w:rPr>
  </w:style>
  <w:style w:type="paragraph" w:customStyle="1" w:styleId="27">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28">
    <w:name w:val="font01"/>
    <w:basedOn w:val="14"/>
    <w:qFormat/>
    <w:uiPriority w:val="0"/>
    <w:rPr>
      <w:rFonts w:hint="eastAsia" w:ascii="宋体" w:hAnsi="宋体" w:eastAsia="宋体" w:cs="宋体"/>
      <w:color w:val="000000"/>
      <w:sz w:val="20"/>
      <w:szCs w:val="20"/>
      <w:u w:val="none"/>
    </w:rPr>
  </w:style>
  <w:style w:type="character" w:customStyle="1" w:styleId="29">
    <w:name w:val="font31"/>
    <w:basedOn w:val="14"/>
    <w:qFormat/>
    <w:uiPriority w:val="0"/>
    <w:rPr>
      <w:rFonts w:hint="eastAsia" w:ascii="宋体" w:hAnsi="宋体" w:eastAsia="宋体" w:cs="宋体"/>
      <w:color w:val="000000"/>
      <w:sz w:val="20"/>
      <w:szCs w:val="20"/>
      <w:u w:val="none"/>
    </w:rPr>
  </w:style>
  <w:style w:type="character" w:customStyle="1" w:styleId="30">
    <w:name w:val="font51"/>
    <w:basedOn w:val="14"/>
    <w:qFormat/>
    <w:uiPriority w:val="0"/>
    <w:rPr>
      <w:rFonts w:hint="eastAsia" w:ascii="宋体" w:hAnsi="宋体" w:eastAsia="宋体" w:cs="宋体"/>
      <w:color w:val="000000"/>
      <w:sz w:val="20"/>
      <w:szCs w:val="20"/>
      <w:u w:val="none"/>
    </w:rPr>
  </w:style>
  <w:style w:type="character" w:styleId="31">
    <w:name w:val="Placeholder Text"/>
    <w:basedOn w:val="14"/>
    <w:unhideWhenUsed/>
    <w:qFormat/>
    <w:uiPriority w:val="99"/>
    <w:rPr>
      <w:color w:val="808080"/>
    </w:rPr>
  </w:style>
  <w:style w:type="character" w:customStyle="1" w:styleId="32">
    <w:name w:val="正文文本 字符"/>
    <w:basedOn w:val="14"/>
    <w:link w:val="5"/>
    <w:qFormat/>
    <w:uiPriority w:val="1"/>
    <w:rPr>
      <w:rFonts w:ascii="仿宋_GB2312" w:hAnsi="仿宋_GB2312" w:eastAsia="仿宋_GB2312" w:cs="仿宋_GB2312"/>
      <w:sz w:val="32"/>
      <w:szCs w:val="32"/>
    </w:rPr>
  </w:style>
  <w:style w:type="paragraph" w:customStyle="1" w:styleId="33">
    <w:name w:val="列出段落2"/>
    <w:basedOn w:val="1"/>
    <w:autoRedefine/>
    <w:qFormat/>
    <w:uiPriority w:val="99"/>
    <w:pPr>
      <w:ind w:firstLine="420" w:firstLineChars="200"/>
    </w:pPr>
    <w:rPr>
      <w:sz w:val="2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1"/>
    <customShpInfo spid="_x0000_s3082"/>
    <customShpInfo spid="_x0000_s1026" textRotate="1"/>
    <customShpInfo spid="_x0000_s308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32841-CAB2-4F0A-A81F-493394737FD5}">
  <ds:schemaRefs/>
</ds:datastoreItem>
</file>

<file path=docProps/app.xml><?xml version="1.0" encoding="utf-8"?>
<Properties xmlns="http://schemas.openxmlformats.org/officeDocument/2006/extended-properties" xmlns:vt="http://schemas.openxmlformats.org/officeDocument/2006/docPropsVTypes">
  <Template>Normal</Template>
  <Pages>57</Pages>
  <Words>4384</Words>
  <Characters>24995</Characters>
  <Lines>208</Lines>
  <Paragraphs>58</Paragraphs>
  <TotalTime>32</TotalTime>
  <ScaleCrop>false</ScaleCrop>
  <LinksUpToDate>false</LinksUpToDate>
  <CharactersWithSpaces>29321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2022-12-16T02:33:00Z</dcterms:created>
  <dc:creator>华华</dc:creator>
  <cp:lastModifiedBy>Administrator</cp:lastModifiedBy>
  <cp:lastPrinted>2023-06-25T02:37:00Z</cp:lastPrinted>
  <dcterms:modified xsi:type="dcterms:W3CDTF">2023-12-20T09:11:18Z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WPS 文字</vt:lpwstr>
  </property>
  <property fmtid="{D5CDD505-2E9C-101B-9397-08002B2CF9AE}" pid="4" name="LastSaved">
    <vt:filetime>2022-12-16T00:00:00Z</vt:filetime>
  </property>
  <property fmtid="{D5CDD505-2E9C-101B-9397-08002B2CF9AE}" pid="5" name="SourceModified">
    <vt:lpwstr>D:20220316225457+14'54'</vt:lpwstr>
  </property>
  <property fmtid="{D5CDD505-2E9C-101B-9397-08002B2CF9AE}" pid="6" name="KSOProductBuildVer">
    <vt:lpwstr>2052-12.1.0.16120</vt:lpwstr>
  </property>
  <property fmtid="{D5CDD505-2E9C-101B-9397-08002B2CF9AE}" pid="7" name="ICV">
    <vt:lpwstr>DF896F2A09E34CAF8CB1169D50347F34</vt:lpwstr>
  </property>
</Properties>
</file>