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sz w:val="44"/>
          <w:szCs w:val="44"/>
          <w:lang w:val="en-US" w:eastAsia="zh-CN"/>
        </w:rPr>
      </w:pPr>
    </w:p>
    <w:p>
      <w:pPr>
        <w:jc w:val="center"/>
        <w:rPr>
          <w:rFonts w:hint="eastAsia"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2022年汇通产业园事业服务中心部门整体</w:t>
      </w:r>
    </w:p>
    <w:p>
      <w:pPr>
        <w:jc w:val="center"/>
        <w:rPr>
          <w:rFonts w:hint="default" w:ascii="方正小标宋简体" w:hAnsi="方正小标宋简体" w:eastAsia="方正小标宋简体" w:cs="方正小标宋简体"/>
          <w:sz w:val="44"/>
          <w:szCs w:val="44"/>
          <w:lang w:val="en-US" w:eastAsia="zh-CN"/>
        </w:rPr>
      </w:pPr>
      <w:r>
        <w:rPr>
          <w:rFonts w:hint="eastAsia" w:ascii="方正小标宋简体" w:hAnsi="方正小标宋简体" w:eastAsia="方正小标宋简体" w:cs="方正小标宋简体"/>
          <w:sz w:val="44"/>
          <w:szCs w:val="44"/>
          <w:lang w:val="en-US" w:eastAsia="zh-CN"/>
        </w:rPr>
        <w:t>支出绩效评价报告</w:t>
      </w: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pStyle w:val="2"/>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rPr>
          <w:rFonts w:hint="eastAsia" w:ascii="方正小标宋简体" w:hAnsi="方正小标宋简体" w:eastAsia="方正小标宋简体" w:cs="方正小标宋简体"/>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beforeAutospacing="0" w:afterAutospacing="0"/>
        <w:ind w:firstLine="1056" w:firstLineChars="33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实施单位：</w:t>
      </w:r>
      <w:r>
        <w:rPr>
          <w:rFonts w:hint="eastAsia" w:ascii="方正小标宋简体" w:hAnsi="方正小标宋简体" w:eastAsia="方正小标宋简体" w:cs="方正小标宋简体"/>
          <w:b w:val="0"/>
          <w:bCs w:val="0"/>
          <w:sz w:val="32"/>
          <w:szCs w:val="32"/>
          <w:lang w:val="en-US" w:eastAsia="zh-CN"/>
        </w:rPr>
        <w:t>汇通产业园事业服务中心</w:t>
      </w:r>
    </w:p>
    <w:p>
      <w:pPr>
        <w:pStyle w:val="20"/>
        <w:keepNext w:val="0"/>
        <w:keepLines w:val="0"/>
        <w:pageBreakBefore w:val="0"/>
        <w:widowControl w:val="0"/>
        <w:kinsoku/>
        <w:wordWrap/>
        <w:overflowPunct/>
        <w:topLinePunct w:val="0"/>
        <w:autoSpaceDE/>
        <w:autoSpaceDN/>
        <w:bidi w:val="0"/>
        <w:adjustRightInd/>
        <w:snapToGrid/>
        <w:spacing w:beforeAutospacing="0" w:afterAutospacing="0"/>
        <w:ind w:left="2658" w:leftChars="504" w:hanging="1600" w:hangingChars="500"/>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委托单位：山西转型综合改革示范区晋中开发区管理委员会财政局</w:t>
      </w:r>
    </w:p>
    <w:p>
      <w:pPr>
        <w:pStyle w:val="14"/>
        <w:keepNext w:val="0"/>
        <w:keepLines w:val="0"/>
        <w:pageBreakBefore w:val="0"/>
        <w:widowControl w:val="0"/>
        <w:kinsoku/>
        <w:wordWrap/>
        <w:overflowPunct/>
        <w:topLinePunct w:val="0"/>
        <w:autoSpaceDE/>
        <w:autoSpaceDN/>
        <w:bidi w:val="0"/>
        <w:adjustRightInd/>
        <w:snapToGrid/>
        <w:spacing w:beforeAutospacing="0" w:after="0" w:afterAutospacing="0"/>
        <w:jc w:val="center"/>
        <w:textAlignment w:val="auto"/>
        <w:rPr>
          <w:rFonts w:hint="eastAsia" w:ascii="方正小标宋简体" w:hAnsi="方正小标宋简体" w:eastAsia="方正小标宋简体" w:cs="方正小标宋简体"/>
          <w:sz w:val="32"/>
          <w:szCs w:val="32"/>
          <w:lang w:val="en-US" w:eastAsia="zh-CN"/>
        </w:rPr>
      </w:pPr>
      <w:r>
        <w:rPr>
          <w:rFonts w:hint="eastAsia" w:ascii="方正小标宋简体" w:hAnsi="方正小标宋简体" w:eastAsia="方正小标宋简体" w:cs="方正小标宋简体"/>
          <w:sz w:val="32"/>
          <w:szCs w:val="32"/>
          <w:lang w:val="en-US" w:eastAsia="zh-CN"/>
        </w:rPr>
        <w:t>评价机构：山西天正会计师事务所（有限公司）</w:t>
      </w:r>
    </w:p>
    <w:p>
      <w:pPr>
        <w:keepNext w:val="0"/>
        <w:keepLines w:val="0"/>
        <w:pageBreakBefore w:val="0"/>
        <w:widowControl w:val="0"/>
        <w:kinsoku/>
        <w:wordWrap/>
        <w:overflowPunct/>
        <w:topLinePunct w:val="0"/>
        <w:autoSpaceDE/>
        <w:autoSpaceDN/>
        <w:bidi w:val="0"/>
        <w:adjustRightInd/>
        <w:snapToGrid/>
        <w:spacing w:beforeAutospacing="0" w:afterAutospacing="0"/>
        <w:ind w:firstLine="693" w:firstLineChars="330"/>
        <w:textAlignment w:val="auto"/>
        <w:rPr>
          <w:rFonts w:hint="default"/>
          <w:lang w:val="en-US" w:eastAsia="zh-CN"/>
        </w:rPr>
      </w:pPr>
    </w:p>
    <w:p>
      <w:pPr>
        <w:pStyle w:val="2"/>
        <w:rPr>
          <w:rFonts w:hint="eastAsia"/>
          <w:lang w:val="en-US" w:eastAsia="zh-CN"/>
        </w:rPr>
      </w:pPr>
    </w:p>
    <w:p>
      <w:pPr>
        <w:spacing w:before="0" w:beforeLines="0" w:after="0" w:afterLines="0" w:line="240" w:lineRule="auto"/>
        <w:ind w:left="0" w:leftChars="0" w:right="0" w:rightChars="0" w:firstLine="0" w:firstLineChars="0"/>
        <w:jc w:val="center"/>
        <w:rPr>
          <w:rFonts w:hint="eastAsia" w:ascii="黑体" w:hAnsi="黑体" w:eastAsia="黑体" w:cs="黑体"/>
          <w:sz w:val="36"/>
          <w:szCs w:val="36"/>
        </w:rPr>
        <w:sectPr>
          <w:pgSz w:w="11906" w:h="16838"/>
          <w:pgMar w:top="2098" w:right="1531" w:bottom="1984" w:left="1531" w:header="851" w:footer="992" w:gutter="0"/>
          <w:pgBorders>
            <w:top w:val="none" w:sz="0" w:space="0"/>
            <w:left w:val="none" w:sz="0" w:space="0"/>
            <w:bottom w:val="none" w:sz="0" w:space="0"/>
            <w:right w:val="none" w:sz="0" w:space="0"/>
          </w:pgBorders>
          <w:pgNumType w:fmt="decimal"/>
          <w:cols w:space="425" w:num="1"/>
          <w:docGrid w:type="lines" w:linePitch="312" w:charSpace="0"/>
        </w:sectPr>
      </w:pPr>
      <w:r>
        <w:rPr>
          <w:rFonts w:hint="eastAsia" w:ascii="方正小标宋简体" w:hAnsi="方正小标宋简体" w:eastAsia="方正小标宋简体" w:cs="方正小标宋简体"/>
          <w:sz w:val="32"/>
          <w:szCs w:val="32"/>
          <w:lang w:val="en-US" w:eastAsia="zh-CN"/>
        </w:rPr>
        <w:t>二〇二三年九月</w:t>
      </w:r>
    </w:p>
    <w:p>
      <w:pPr>
        <w:pStyle w:val="16"/>
        <w:ind w:left="0" w:leftChars="0" w:firstLine="0" w:firstLineChars="0"/>
        <w:jc w:val="center"/>
        <w:outlineLvl w:val="0"/>
        <w:rPr>
          <w:rFonts w:hint="eastAsia" w:ascii="方正小标宋简体" w:hAnsi="方正小标宋简体" w:eastAsia="方正小标宋简体" w:cs="方正小标宋简体"/>
          <w:sz w:val="44"/>
          <w:szCs w:val="44"/>
          <w:lang w:val="en-US" w:eastAsia="zh-CN"/>
        </w:rPr>
      </w:pPr>
      <w:bookmarkStart w:id="0" w:name="_Toc27464"/>
      <w:bookmarkStart w:id="1" w:name="_Toc9713"/>
      <w:bookmarkStart w:id="2" w:name="_Toc8848"/>
      <w:bookmarkStart w:id="3" w:name="_Toc6178"/>
      <w:bookmarkStart w:id="4" w:name="_Toc10465"/>
      <w:r>
        <w:rPr>
          <w:rFonts w:hint="eastAsia" w:ascii="方正小标宋简体" w:hAnsi="方正小标宋简体" w:eastAsia="方正小标宋简体" w:cs="方正小标宋简体"/>
          <w:sz w:val="44"/>
          <w:szCs w:val="44"/>
          <w:lang w:val="en-US" w:eastAsia="zh-CN"/>
        </w:rPr>
        <w:t>摘 要</w:t>
      </w:r>
      <w:bookmarkEnd w:id="0"/>
      <w:bookmarkEnd w:id="1"/>
      <w:bookmarkEnd w:id="2"/>
      <w:bookmarkEnd w:id="3"/>
      <w:bookmarkEnd w:id="4"/>
    </w:p>
    <w:p>
      <w:pPr>
        <w:ind w:firstLine="640" w:firstLineChars="200"/>
        <w:jc w:val="left"/>
        <w:rPr>
          <w:rFonts w:hint="eastAsia" w:ascii="Times New Roman" w:hAnsi="Times New Roman" w:eastAsia="仿宋_GB2312"/>
          <w:color w:val="auto"/>
          <w:sz w:val="32"/>
          <w:szCs w:val="32"/>
          <w:lang w:val="en-US" w:eastAsia="zh-CN"/>
        </w:rPr>
      </w:pPr>
    </w:p>
    <w:p>
      <w:pPr>
        <w:ind w:firstLine="640" w:firstLineChars="200"/>
        <w:outlineLvl w:val="9"/>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color w:val="auto"/>
          <w:sz w:val="32"/>
          <w:szCs w:val="32"/>
          <w:highlight w:val="none"/>
          <w:lang w:val="en-US" w:eastAsia="zh-CN"/>
        </w:rPr>
        <w:t>根据晋中开发区财政局</w:t>
      </w:r>
      <w:r>
        <w:rPr>
          <w:rFonts w:hint="default" w:ascii="Times New Roman" w:hAnsi="Times New Roman" w:eastAsia="仿宋_GB2312" w:cs="Times New Roman"/>
          <w:sz w:val="32"/>
          <w:szCs w:val="32"/>
          <w:highlight w:val="none"/>
          <w:lang w:val="en-US" w:eastAsia="zh-CN"/>
        </w:rPr>
        <w:t>《示范区晋中开发区财政局关于印发〈2023年度区级财政重点绩效评价实施方案〉的通知》（综示晋开财发〔2023〕156号）</w:t>
      </w:r>
      <w:r>
        <w:rPr>
          <w:rFonts w:hint="default" w:ascii="Times New Roman" w:hAnsi="Times New Roman" w:eastAsia="仿宋_GB2312" w:cs="Times New Roman"/>
          <w:color w:val="auto"/>
          <w:sz w:val="32"/>
          <w:szCs w:val="32"/>
          <w:highlight w:val="none"/>
          <w:lang w:val="en-US" w:eastAsia="zh-CN"/>
        </w:rPr>
        <w:t>，受晋中开发区财政局委托，我们组织专业人员对</w:t>
      </w:r>
      <w:r>
        <w:rPr>
          <w:rFonts w:hint="eastAsia" w:ascii="Times New Roman" w:hAnsi="Times New Roman" w:eastAsia="仿宋_GB2312" w:cs="仿宋_GB2312"/>
          <w:color w:val="auto"/>
          <w:sz w:val="32"/>
          <w:szCs w:val="32"/>
          <w:highlight w:val="none"/>
          <w:lang w:val="en-US" w:eastAsia="zh-CN"/>
        </w:rPr>
        <w:t>汇通产业园事业服务中心2022年部门整体支出</w:t>
      </w:r>
      <w:r>
        <w:rPr>
          <w:rFonts w:hint="eastAsia" w:ascii="Times New Roman" w:hAnsi="Times New Roman" w:eastAsia="仿宋_GB2312" w:cs="仿宋_GB2312"/>
          <w:color w:val="auto"/>
          <w:sz w:val="32"/>
          <w:szCs w:val="32"/>
          <w:highlight w:val="none"/>
        </w:rPr>
        <w:t>进行绩效评价</w:t>
      </w:r>
      <w:r>
        <w:rPr>
          <w:rFonts w:hint="default" w:ascii="Times New Roman" w:hAnsi="Times New Roman" w:eastAsia="仿宋_GB2312" w:cs="Times New Roman"/>
          <w:color w:val="auto"/>
          <w:sz w:val="32"/>
          <w:szCs w:val="32"/>
          <w:highlight w:val="none"/>
          <w:lang w:val="en-US" w:eastAsia="zh-CN"/>
        </w:rPr>
        <w:t>，现将评价报告摘要如下：</w:t>
      </w:r>
    </w:p>
    <w:p>
      <w:pPr>
        <w:pStyle w:val="16"/>
        <w:ind w:left="0" w:leftChars="0" w:firstLine="640" w:firstLineChars="200"/>
        <w:jc w:val="left"/>
        <w:outlineLvl w:val="9"/>
        <w:rPr>
          <w:rFonts w:hint="eastAsia" w:ascii="黑体" w:hAnsi="黑体" w:eastAsia="黑体" w:cs="黑体"/>
          <w:b w:val="0"/>
          <w:bCs/>
          <w:kern w:val="0"/>
          <w:sz w:val="32"/>
          <w:szCs w:val="32"/>
          <w:lang w:val="en-US" w:eastAsia="zh-CN"/>
        </w:rPr>
      </w:pPr>
      <w:bookmarkStart w:id="5" w:name="_Toc9757"/>
      <w:bookmarkStart w:id="6" w:name="_Toc3797"/>
      <w:bookmarkStart w:id="7" w:name="_Toc14222"/>
      <w:r>
        <w:rPr>
          <w:rFonts w:hint="eastAsia" w:ascii="黑体" w:hAnsi="黑体" w:eastAsia="黑体" w:cs="黑体"/>
          <w:b w:val="0"/>
          <w:bCs/>
          <w:kern w:val="0"/>
          <w:sz w:val="32"/>
          <w:szCs w:val="32"/>
          <w:lang w:val="en-US" w:eastAsia="zh-CN"/>
        </w:rPr>
        <w:t>一、</w:t>
      </w:r>
      <w:bookmarkEnd w:id="5"/>
      <w:r>
        <w:rPr>
          <w:rFonts w:hint="eastAsia" w:ascii="黑体" w:hAnsi="黑体" w:eastAsia="黑体" w:cs="黑体"/>
          <w:b w:val="0"/>
          <w:bCs/>
          <w:kern w:val="0"/>
          <w:sz w:val="32"/>
          <w:szCs w:val="32"/>
          <w:lang w:val="en-US" w:eastAsia="zh-CN"/>
        </w:rPr>
        <w:t>概述要素</w:t>
      </w:r>
      <w:bookmarkEnd w:id="6"/>
      <w:bookmarkEnd w:id="7"/>
    </w:p>
    <w:p>
      <w:pPr>
        <w:ind w:firstLine="640" w:firstLineChars="200"/>
        <w:outlineLvl w:val="9"/>
        <w:rPr>
          <w:rFonts w:hint="eastAsia"/>
          <w:lang w:val="en-US" w:eastAsia="zh-CN"/>
        </w:rPr>
      </w:pPr>
      <w:bookmarkStart w:id="8" w:name="_Toc14387"/>
      <w:bookmarkStart w:id="9" w:name="_Toc9366"/>
      <w:r>
        <w:rPr>
          <w:rFonts w:hint="eastAsia" w:ascii="楷体" w:hAnsi="楷体" w:eastAsia="楷体" w:cs="楷体"/>
          <w:sz w:val="32"/>
          <w:szCs w:val="32"/>
          <w:lang w:val="en-US" w:eastAsia="zh-CN"/>
        </w:rPr>
        <w:t>（一）部门概况</w:t>
      </w:r>
      <w:bookmarkEnd w:id="8"/>
      <w:bookmarkEnd w:id="9"/>
    </w:p>
    <w:p>
      <w:pPr>
        <w:pStyle w:val="2"/>
        <w:spacing w:after="0" w:afterAutospacing="0"/>
        <w:ind w:firstLine="640" w:firstLineChars="200"/>
        <w:outlineLvl w:val="9"/>
        <w:rPr>
          <w:rFonts w:hint="eastAsia" w:ascii="仿宋_GB2312" w:hAnsi="仿宋_GB2312" w:eastAsia="仿宋_GB2312" w:cs="仿宋_GB2312"/>
          <w:bCs/>
          <w:kern w:val="0"/>
          <w:sz w:val="28"/>
          <w:szCs w:val="32"/>
          <w:shd w:val="clear" w:color="auto" w:fill="FFFFFF"/>
          <w:lang w:eastAsia="zh-TW"/>
        </w:rPr>
      </w:pPr>
      <w:r>
        <w:rPr>
          <w:rFonts w:hint="eastAsia" w:ascii="Times New Roman" w:hAnsi="Times New Roman" w:eastAsia="仿宋_GB2312" w:cs="仿宋_GB2312"/>
          <w:color w:val="auto"/>
          <w:sz w:val="32"/>
          <w:szCs w:val="32"/>
          <w:highlight w:val="none"/>
          <w:lang w:val="en-US" w:eastAsia="zh-CN"/>
        </w:rPr>
        <w:t>按照山西省委、省政府关于建设转型综合改革示范区的要求，晋中市委、市政府成立山西转型综合改革示范区晋中开发区（以下简称示范区晋中开发区），与山西转型综合改革示范区内其他园区统一规划、统一政策、统一授权。示范区晋中开发区分为大学城产业园、汇通产业园、潇河产业园、新能源汽车园四个产业园区，汇通产业园事业服务中心为公益一类事业单位，为副处级建制，内设3个科室</w:t>
      </w:r>
      <w:r>
        <w:rPr>
          <w:rFonts w:hint="eastAsia" w:ascii="Times New Roman" w:hAnsi="Times New Roman" w:eastAsia="仿宋_GB2312" w:cs="仿宋_GB2312"/>
          <w:color w:val="auto"/>
          <w:kern w:val="2"/>
          <w:sz w:val="32"/>
          <w:szCs w:val="32"/>
          <w:highlight w:val="none"/>
          <w:lang w:val="en-US" w:eastAsia="zh-CN" w:bidi="ar-SA"/>
        </w:rPr>
        <w:t>，分别是企业服务办公室、产业转型发展办公室、安全生产监督办公室。</w:t>
      </w:r>
    </w:p>
    <w:p>
      <w:pPr>
        <w:ind w:firstLine="640" w:firstLineChars="200"/>
        <w:outlineLvl w:val="9"/>
        <w:rPr>
          <w:rFonts w:hint="eastAsia" w:ascii="楷体" w:hAnsi="楷体" w:eastAsia="楷体" w:cs="楷体"/>
          <w:b w:val="0"/>
          <w:bCs w:val="0"/>
          <w:kern w:val="2"/>
          <w:sz w:val="32"/>
          <w:szCs w:val="32"/>
          <w:highlight w:val="none"/>
          <w:lang w:val="en-US" w:eastAsia="zh-CN"/>
        </w:rPr>
      </w:pPr>
      <w:bookmarkStart w:id="10" w:name="_Toc16233"/>
      <w:r>
        <w:rPr>
          <w:rFonts w:hint="eastAsia" w:ascii="楷体" w:hAnsi="楷体" w:eastAsia="楷体" w:cs="楷体"/>
          <w:b w:val="0"/>
          <w:bCs w:val="0"/>
          <w:kern w:val="2"/>
          <w:sz w:val="32"/>
          <w:szCs w:val="32"/>
          <w:highlight w:val="none"/>
          <w:lang w:val="en-US" w:eastAsia="zh-CN"/>
        </w:rPr>
        <w:t>（二）部门年度绩效目标</w:t>
      </w:r>
      <w:bookmarkEnd w:id="10"/>
    </w:p>
    <w:p>
      <w:pPr>
        <w:pStyle w:val="2"/>
        <w:keepNext w:val="0"/>
        <w:keepLines w:val="0"/>
        <w:pageBreakBefore w:val="0"/>
        <w:widowControl w:val="0"/>
        <w:kinsoku/>
        <w:wordWrap/>
        <w:overflowPunct/>
        <w:topLinePunct w:val="0"/>
        <w:autoSpaceDE/>
        <w:autoSpaceDN/>
        <w:bidi w:val="0"/>
        <w:adjustRightInd/>
        <w:snapToGrid/>
        <w:spacing w:after="0"/>
        <w:ind w:firstLine="640" w:firstLineChars="200"/>
        <w:textAlignment w:val="auto"/>
        <w:outlineLvl w:val="9"/>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通过对</w:t>
      </w:r>
      <w:r>
        <w:rPr>
          <w:rFonts w:hint="eastAsia" w:ascii="Times New Roman" w:hAnsi="Times New Roman" w:eastAsia="仿宋_GB2312" w:cs="仿宋_GB2312"/>
          <w:color w:val="auto"/>
          <w:kern w:val="2"/>
          <w:sz w:val="32"/>
          <w:szCs w:val="32"/>
          <w:highlight w:val="none"/>
          <w:lang w:val="en-US" w:eastAsia="zh-CN" w:bidi="ar-SA"/>
        </w:rPr>
        <w:t>汇通产业园事业服务中心</w:t>
      </w:r>
      <w:r>
        <w:rPr>
          <w:rFonts w:hint="eastAsia" w:ascii="仿宋_GB2312" w:hAnsi="仿宋_GB2312" w:eastAsia="仿宋_GB2312" w:cs="仿宋_GB2312"/>
          <w:sz w:val="32"/>
          <w:szCs w:val="32"/>
          <w:lang w:val="en-US" w:eastAsia="zh-CN"/>
        </w:rPr>
        <w:t>设定的年度工作计划的梳理，结合</w:t>
      </w:r>
      <w:r>
        <w:rPr>
          <w:rFonts w:hint="eastAsia" w:ascii="Times New Roman" w:hAnsi="Times New Roman" w:eastAsia="仿宋_GB2312" w:cs="仿宋_GB2312"/>
          <w:color w:val="auto"/>
          <w:kern w:val="2"/>
          <w:sz w:val="32"/>
          <w:szCs w:val="32"/>
          <w:highlight w:val="none"/>
          <w:lang w:val="en-US" w:eastAsia="zh-CN" w:bidi="ar-SA"/>
        </w:rPr>
        <w:t>汇通产业园事业服务中心</w:t>
      </w:r>
      <w:r>
        <w:rPr>
          <w:rFonts w:hint="eastAsia" w:ascii="仿宋_GB2312" w:hAnsi="仿宋_GB2312" w:eastAsia="仿宋_GB2312" w:cs="仿宋_GB2312"/>
          <w:sz w:val="32"/>
          <w:szCs w:val="32"/>
          <w:lang w:val="en-US" w:eastAsia="zh-CN"/>
        </w:rPr>
        <w:t>的履职职能，整理出</w:t>
      </w:r>
      <w:r>
        <w:rPr>
          <w:rFonts w:hint="eastAsia" w:ascii="Times New Roman" w:hAnsi="Times New Roman" w:eastAsia="仿宋_GB2312" w:cs="仿宋_GB2312"/>
          <w:color w:val="auto"/>
          <w:kern w:val="2"/>
          <w:sz w:val="32"/>
          <w:szCs w:val="32"/>
          <w:highlight w:val="none"/>
          <w:lang w:val="en-US" w:eastAsia="zh-CN" w:bidi="ar-SA"/>
        </w:rPr>
        <w:t>汇通产业园事业服务中心</w:t>
      </w:r>
      <w:r>
        <w:rPr>
          <w:rFonts w:hint="eastAsia" w:ascii="仿宋_GB2312" w:hAnsi="仿宋_GB2312" w:eastAsia="仿宋_GB2312" w:cs="仿宋_GB2312"/>
          <w:sz w:val="32"/>
          <w:szCs w:val="32"/>
          <w:lang w:val="en-US" w:eastAsia="zh-CN"/>
        </w:rPr>
        <w:t>的年度绩效目标，如下表</w:t>
      </w:r>
      <w:r>
        <w:rPr>
          <w:rFonts w:hint="eastAsia" w:ascii="Times New Roman" w:hAnsi="Times New Roman" w:eastAsia="仿宋_GB2312" w:cs="Times New Roman"/>
          <w:sz w:val="32"/>
          <w:szCs w:val="32"/>
          <w:lang w:val="en-US" w:eastAsia="zh-CN"/>
        </w:rPr>
        <w:t>1</w:t>
      </w:r>
      <w:r>
        <w:rPr>
          <w:rFonts w:hint="eastAsia" w:ascii="仿宋_GB2312" w:hAnsi="仿宋_GB2312" w:eastAsia="仿宋_GB2312" w:cs="仿宋_GB2312"/>
          <w:sz w:val="32"/>
          <w:szCs w:val="32"/>
          <w:lang w:val="en-US" w:eastAsia="zh-CN"/>
        </w:rPr>
        <w:t>所示：</w:t>
      </w: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eastAsia" w:ascii="黑体" w:hAnsi="黑体" w:eastAsia="黑体" w:cs="黑体"/>
          <w:b w:val="0"/>
          <w:bCs w:val="0"/>
          <w:kern w:val="2"/>
          <w:sz w:val="28"/>
          <w:szCs w:val="28"/>
          <w:lang w:val="en-US" w:eastAsia="zh-CN" w:bidi="ar-SA"/>
        </w:rPr>
      </w:pPr>
    </w:p>
    <w:p>
      <w:pPr>
        <w:keepNext w:val="0"/>
        <w:keepLines w:val="0"/>
        <w:pageBreakBefore w:val="0"/>
        <w:widowControl w:val="0"/>
        <w:numPr>
          <w:ilvl w:val="0"/>
          <w:numId w:val="0"/>
        </w:numPr>
        <w:kinsoku/>
        <w:wordWrap/>
        <w:overflowPunct/>
        <w:topLinePunct w:val="0"/>
        <w:autoSpaceDE/>
        <w:autoSpaceDN/>
        <w:bidi w:val="0"/>
        <w:adjustRightInd/>
        <w:snapToGrid/>
        <w:jc w:val="center"/>
        <w:textAlignment w:val="auto"/>
        <w:outlineLvl w:val="9"/>
        <w:rPr>
          <w:rFonts w:hint="default"/>
          <w:lang w:val="en-US" w:eastAsia="zh-CN"/>
        </w:rPr>
      </w:pPr>
      <w:r>
        <w:rPr>
          <w:rFonts w:hint="eastAsia" w:ascii="黑体" w:hAnsi="黑体" w:eastAsia="黑体" w:cs="黑体"/>
          <w:b w:val="0"/>
          <w:bCs w:val="0"/>
          <w:kern w:val="2"/>
          <w:sz w:val="28"/>
          <w:szCs w:val="28"/>
          <w:lang w:val="en-US" w:eastAsia="zh-CN" w:bidi="ar-SA"/>
        </w:rPr>
        <w:t>表1 年度绩效目标表</w:t>
      </w:r>
    </w:p>
    <w:tbl>
      <w:tblPr>
        <w:tblStyle w:val="17"/>
        <w:tblW w:w="4997" w:type="pct"/>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Layout w:type="autofit"/>
        <w:tblCellMar>
          <w:top w:w="0" w:type="dxa"/>
          <w:left w:w="108" w:type="dxa"/>
          <w:bottom w:w="0" w:type="dxa"/>
          <w:right w:w="108" w:type="dxa"/>
        </w:tblCellMar>
      </w:tblPr>
      <w:tblGrid>
        <w:gridCol w:w="730"/>
        <w:gridCol w:w="978"/>
        <w:gridCol w:w="2839"/>
        <w:gridCol w:w="39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auto"/>
          <w:tblCellMar>
            <w:top w:w="0" w:type="dxa"/>
            <w:left w:w="108" w:type="dxa"/>
            <w:bottom w:w="0" w:type="dxa"/>
            <w:right w:w="108" w:type="dxa"/>
          </w:tblCellMar>
        </w:tblPrEx>
        <w:trPr>
          <w:trHeight w:val="288"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年度总体目标</w:t>
            </w:r>
          </w:p>
        </w:tc>
        <w:tc>
          <w:tcPr>
            <w:tcW w:w="4570" w:type="pct"/>
            <w:gridSpan w:val="3"/>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宋体" w:hAnsi="宋体" w:eastAsia="仿宋_GB2312" w:cs="宋体"/>
                <w:i w:val="0"/>
                <w:iCs w:val="0"/>
                <w:color w:val="000000"/>
                <w:sz w:val="20"/>
                <w:szCs w:val="20"/>
                <w:u w:val="none"/>
                <w:lang w:val="en-US" w:eastAsia="zh-CN"/>
              </w:rPr>
            </w:pPr>
            <w:r>
              <w:rPr>
                <w:rFonts w:hint="eastAsia" w:ascii="宋体" w:hAnsi="宋体" w:eastAsia="宋体" w:cs="宋体"/>
                <w:kern w:val="0"/>
                <w:sz w:val="20"/>
                <w:szCs w:val="20"/>
                <w:lang w:val="en-US" w:eastAsia="zh-CN" w:bidi="ar-SA"/>
              </w:rPr>
              <w:t>推动产业园内项目的实施，通过送政策、送服务督促其加快进度，实现投资到位、工程到位、进度到位；紧盯亿元产值企业，以服务企业需求为导向，下沉到企业车间，针对企业生产经营中遇到的资金、用工等问题，积极协调解决；持续推进党建基础工作，发挥示范引领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45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45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4570" w:type="pct"/>
            <w:gridSpan w:val="3"/>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left"/>
              <w:outlineLvl w:val="9"/>
              <w:rPr>
                <w:rFonts w:hint="eastAsia" w:ascii="宋体" w:hAnsi="宋体" w:eastAsia="宋体" w:cs="宋体"/>
                <w:i w:val="0"/>
                <w:iCs w:val="0"/>
                <w:color w:val="000000"/>
                <w:sz w:val="20"/>
                <w:szCs w:val="20"/>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18"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年度履职目标</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工作目标</w:t>
            </w: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目标内容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kern w:val="0"/>
                <w:sz w:val="20"/>
                <w:szCs w:val="20"/>
                <w:lang w:val="en-US" w:eastAsia="zh-CN"/>
              </w:rPr>
            </w:pPr>
            <w:r>
              <w:rPr>
                <w:rFonts w:hint="eastAsia" w:ascii="宋体" w:hAnsi="宋体" w:cs="宋体"/>
                <w:kern w:val="0"/>
                <w:sz w:val="20"/>
                <w:szCs w:val="20"/>
                <w:lang w:val="en-US" w:eastAsia="zh-CN"/>
              </w:rPr>
              <w:t>推动产业园区内项目建设</w:t>
            </w: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numPr>
                <w:ilvl w:val="0"/>
                <w:numId w:val="0"/>
              </w:numPr>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1.建立项目负责制；</w:t>
            </w:r>
          </w:p>
          <w:p>
            <w:pPr>
              <w:pStyle w:val="6"/>
              <w:numPr>
                <w:ilvl w:val="0"/>
                <w:numId w:val="0"/>
              </w:numPr>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2.摸底调研园区内开展的项目，了解项目建设内容、建设进度等情况；</w:t>
            </w:r>
          </w:p>
          <w:p>
            <w:pPr>
              <w:pStyle w:val="6"/>
              <w:numPr>
                <w:ilvl w:val="0"/>
                <w:numId w:val="0"/>
              </w:numPr>
              <w:outlineLvl w:val="9"/>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3.推动项目手续办理，为下一步项目方办理手续提供依据和快速通道。</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highlight w:val="none"/>
                <w:u w:val="none"/>
                <w:lang w:val="en-US" w:eastAsia="zh-CN"/>
              </w:rPr>
            </w:pPr>
            <w:r>
              <w:rPr>
                <w:rFonts w:hint="eastAsia" w:ascii="宋体" w:hAnsi="宋体" w:cs="宋体"/>
                <w:kern w:val="0"/>
                <w:sz w:val="20"/>
                <w:szCs w:val="20"/>
                <w:lang w:val="en-US" w:eastAsia="zh-CN"/>
              </w:rPr>
              <w:t>服务园区内入驻企业</w:t>
            </w: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pStyle w:val="6"/>
              <w:numPr>
                <w:ilvl w:val="0"/>
                <w:numId w:val="0"/>
              </w:numPr>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1.审核审批开工项目人员的身份信息、健康状况等，做好项目开复工前期准备工作；</w:t>
            </w:r>
          </w:p>
          <w:p>
            <w:pPr>
              <w:pStyle w:val="6"/>
              <w:numPr>
                <w:ilvl w:val="0"/>
                <w:numId w:val="0"/>
              </w:numPr>
              <w:outlineLvl w:val="9"/>
              <w:rPr>
                <w:rFonts w:hint="eastAsia"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2.督导督促符合项目开工条件的单位进行复工复产；</w:t>
            </w:r>
          </w:p>
          <w:p>
            <w:pPr>
              <w:pStyle w:val="6"/>
              <w:numPr>
                <w:ilvl w:val="0"/>
                <w:numId w:val="0"/>
              </w:numPr>
              <w:outlineLvl w:val="9"/>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3.协调解决新冠疫情与企业生产的矛盾；</w:t>
            </w:r>
          </w:p>
          <w:p>
            <w:pPr>
              <w:pStyle w:val="6"/>
              <w:numPr>
                <w:ilvl w:val="0"/>
                <w:numId w:val="0"/>
              </w:numPr>
              <w:outlineLvl w:val="9"/>
              <w:rPr>
                <w:rFonts w:hint="default" w:ascii="宋体" w:hAnsi="宋体" w:eastAsia="宋体" w:cs="宋体"/>
                <w:kern w:val="0"/>
                <w:sz w:val="20"/>
                <w:szCs w:val="20"/>
                <w:lang w:val="en-US" w:eastAsia="zh-CN" w:bidi="ar-SA"/>
              </w:rPr>
            </w:pPr>
            <w:r>
              <w:rPr>
                <w:rFonts w:hint="eastAsia" w:ascii="宋体" w:hAnsi="宋体" w:eastAsia="宋体" w:cs="宋体"/>
                <w:kern w:val="0"/>
                <w:sz w:val="20"/>
                <w:szCs w:val="20"/>
                <w:lang w:val="en-US" w:eastAsia="zh-CN" w:bidi="ar-SA"/>
              </w:rPr>
              <w:t>4.了解园区重点企业生产建设情况，推进协调考察工作。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highlight w:val="none"/>
                <w:u w:val="none"/>
                <w:lang w:val="en-US" w:eastAsia="zh-CN"/>
              </w:rPr>
            </w:pPr>
            <w:r>
              <w:rPr>
                <w:rFonts w:hint="eastAsia" w:ascii="宋体" w:hAnsi="宋体" w:eastAsia="宋体" w:cs="宋体"/>
                <w:kern w:val="0"/>
                <w:sz w:val="20"/>
                <w:szCs w:val="20"/>
                <w:lang w:val="en-US" w:eastAsia="zh-CN"/>
              </w:rPr>
              <w:t>推进党建基础工作</w:t>
            </w: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numPr>
                <w:ilvl w:val="0"/>
                <w:numId w:val="0"/>
              </w:numPr>
              <w:suppressLineNumbers w:val="0"/>
              <w:jc w:val="left"/>
              <w:textAlignment w:val="center"/>
              <w:outlineLvl w:val="9"/>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lang w:val="en-US" w:eastAsia="zh-CN" w:bidi="ar"/>
              </w:rPr>
              <w:t>1.</w:t>
            </w:r>
            <w:r>
              <w:rPr>
                <w:rFonts w:hint="eastAsia" w:ascii="宋体" w:hAnsi="宋体" w:eastAsia="宋体" w:cs="宋体"/>
                <w:i w:val="0"/>
                <w:iCs w:val="0"/>
                <w:color w:val="000000"/>
                <w:kern w:val="0"/>
                <w:sz w:val="20"/>
                <w:szCs w:val="20"/>
                <w:u w:val="none"/>
                <w:lang w:val="en-US" w:eastAsia="zh-CN" w:bidi="ar"/>
              </w:rPr>
              <w:t>建立起党组织互帮互助、发展共赢的长效机制；</w:t>
            </w:r>
          </w:p>
          <w:p>
            <w:pPr>
              <w:pStyle w:val="7"/>
              <w:numPr>
                <w:ilvl w:val="0"/>
                <w:numId w:val="0"/>
              </w:numPr>
              <w:outlineLvl w:val="9"/>
              <w:rPr>
                <w:rFonts w:hint="default"/>
                <w:lang w:val="en-US" w:eastAsia="zh-CN"/>
              </w:rPr>
            </w:pPr>
            <w:r>
              <w:rPr>
                <w:rFonts w:hint="eastAsia" w:ascii="宋体" w:hAnsi="宋体" w:eastAsia="宋体" w:cs="宋体"/>
                <w:kern w:val="0"/>
                <w:sz w:val="20"/>
                <w:szCs w:val="20"/>
                <w:lang w:val="en-US" w:eastAsia="zh-CN"/>
              </w:rPr>
              <w:t>2.对辖属各基层党组织培训两次。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428"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年度核心任务</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重点工作</w:t>
            </w: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w:t>
            </w:r>
            <w:r>
              <w:rPr>
                <w:rFonts w:hint="default" w:ascii="宋体" w:hAnsi="宋体" w:eastAsia="宋体" w:cs="宋体"/>
                <w:i w:val="0"/>
                <w:iCs w:val="0"/>
                <w:color w:val="000000"/>
                <w:sz w:val="20"/>
                <w:szCs w:val="20"/>
                <w:u w:val="none"/>
                <w:lang w:val="en-US" w:eastAsia="zh-CN"/>
              </w:rPr>
              <w:t>项目推进协调考察工作经费</w:t>
            </w:r>
            <w:r>
              <w:rPr>
                <w:rFonts w:hint="eastAsia" w:ascii="宋体" w:hAnsi="宋体" w:cs="宋体"/>
                <w:i w:val="0"/>
                <w:iCs w:val="0"/>
                <w:color w:val="000000"/>
                <w:sz w:val="20"/>
                <w:szCs w:val="20"/>
                <w:u w:val="none"/>
                <w:lang w:val="en-US" w:eastAsia="zh-CN"/>
              </w:rPr>
              <w:t>项目，区内包扶≥20个项目。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w:t>
            </w:r>
            <w:r>
              <w:rPr>
                <w:rFonts w:hint="default" w:ascii="宋体" w:hAnsi="宋体" w:eastAsia="宋体" w:cs="宋体"/>
                <w:i w:val="0"/>
                <w:iCs w:val="0"/>
                <w:color w:val="000000"/>
                <w:sz w:val="20"/>
                <w:szCs w:val="20"/>
                <w:u w:val="none"/>
                <w:lang w:val="en-US" w:eastAsia="zh-CN"/>
              </w:rPr>
              <w:t>区内企业管理服务经费</w:t>
            </w:r>
            <w:r>
              <w:rPr>
                <w:rFonts w:hint="eastAsia" w:ascii="宋体" w:hAnsi="宋体" w:cs="宋体"/>
                <w:i w:val="0"/>
                <w:iCs w:val="0"/>
                <w:color w:val="000000"/>
                <w:sz w:val="20"/>
                <w:szCs w:val="20"/>
                <w:u w:val="none"/>
                <w:lang w:val="en-US" w:eastAsia="zh-CN"/>
              </w:rPr>
              <w:t>项目，帮扶区内10家企业实现小升规。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3996" w:type="pct"/>
            <w:gridSpan w:val="2"/>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left"/>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3.</w:t>
            </w:r>
            <w:r>
              <w:rPr>
                <w:rFonts w:hint="default" w:ascii="宋体" w:hAnsi="宋体" w:eastAsia="宋体" w:cs="宋体"/>
                <w:i w:val="0"/>
                <w:iCs w:val="0"/>
                <w:color w:val="000000"/>
                <w:sz w:val="20"/>
                <w:szCs w:val="20"/>
                <w:u w:val="none"/>
                <w:lang w:val="en-US" w:eastAsia="zh-CN"/>
              </w:rPr>
              <w:t>党建工作及机关文化建设经费</w:t>
            </w:r>
            <w:r>
              <w:rPr>
                <w:rFonts w:hint="eastAsia" w:ascii="宋体" w:hAnsi="宋体" w:cs="宋体"/>
                <w:i w:val="0"/>
                <w:iCs w:val="0"/>
                <w:color w:val="000000"/>
                <w:sz w:val="20"/>
                <w:szCs w:val="20"/>
                <w:u w:val="none"/>
                <w:lang w:val="en-US" w:eastAsia="zh-CN"/>
              </w:rPr>
              <w:t>项目，建设10个以上示范区型支部，提升支部建设。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一级目标</w:t>
            </w:r>
          </w:p>
        </w:tc>
        <w:tc>
          <w:tcPr>
            <w:tcW w:w="574"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二级目标</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三级目标</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指标值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90" w:hRule="atLeast"/>
        </w:trPr>
        <w:tc>
          <w:tcPr>
            <w:tcW w:w="429" w:type="pct"/>
            <w:vMerge w:val="restart"/>
            <w:tcBorders>
              <w:top w:val="single" w:color="000000" w:sz="4" w:space="0"/>
              <w:left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产出</w:t>
            </w:r>
          </w:p>
        </w:tc>
        <w:tc>
          <w:tcPr>
            <w:tcW w:w="574" w:type="pct"/>
            <w:vMerge w:val="restart"/>
            <w:tcBorders>
              <w:top w:val="single" w:color="000000" w:sz="4" w:space="0"/>
              <w:left w:val="single" w:color="000000" w:sz="4" w:space="0"/>
              <w:right w:val="single" w:color="000000" w:sz="4" w:space="0"/>
            </w:tcBorders>
            <w:shd w:val="clear" w:color="auto" w:fill="auto"/>
            <w:vAlign w:val="center"/>
          </w:tcPr>
          <w:p>
            <w:pPr>
              <w:jc w:val="center"/>
              <w:outlineLvl w:val="9"/>
              <w:rPr>
                <w:rFonts w:hint="default" w:ascii="宋体" w:hAnsi="宋体" w:eastAsia="宋体" w:cs="宋体"/>
                <w:i w:val="0"/>
                <w:iCs w:val="0"/>
                <w:color w:val="000000"/>
                <w:sz w:val="20"/>
                <w:szCs w:val="20"/>
                <w:u w:val="none"/>
                <w:lang w:val="en-US" w:eastAsia="zh-CN"/>
              </w:rPr>
            </w:pPr>
            <w:r>
              <w:rPr>
                <w:rFonts w:hint="eastAsia" w:ascii="宋体" w:hAnsi="宋体" w:eastAsia="宋体" w:cs="宋体"/>
                <w:i w:val="0"/>
                <w:iCs w:val="0"/>
                <w:color w:val="000000"/>
                <w:sz w:val="20"/>
                <w:szCs w:val="20"/>
                <w:u w:val="none"/>
                <w:lang w:val="en-US" w:eastAsia="zh-CN"/>
              </w:rPr>
              <w:t>产出数量</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FF"/>
                <w:sz w:val="20"/>
                <w:szCs w:val="20"/>
                <w:u w:val="none"/>
                <w:lang w:val="en-US" w:eastAsia="zh-CN"/>
              </w:rPr>
            </w:pPr>
            <w:r>
              <w:rPr>
                <w:rFonts w:hint="eastAsia" w:ascii="宋体" w:hAnsi="宋体" w:cs="宋体"/>
                <w:i w:val="0"/>
                <w:iCs w:val="0"/>
                <w:color w:val="000000"/>
                <w:sz w:val="20"/>
                <w:szCs w:val="20"/>
                <w:u w:val="none"/>
                <w:lang w:val="en-US" w:eastAsia="zh-CN"/>
              </w:rPr>
              <w:t>区内包扶项目个数</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FF"/>
                <w:sz w:val="20"/>
                <w:szCs w:val="20"/>
                <w:u w:val="none"/>
                <w:lang w:val="en-US" w:eastAsia="zh-CN"/>
              </w:rPr>
            </w:pPr>
            <w:r>
              <w:rPr>
                <w:rFonts w:hint="eastAsia" w:ascii="宋体" w:hAnsi="宋体" w:cs="宋体"/>
                <w:i w:val="0"/>
                <w:iCs w:val="0"/>
                <w:color w:val="000000"/>
                <w:sz w:val="20"/>
                <w:szCs w:val="20"/>
                <w:u w:val="none"/>
                <w:lang w:val="en-US" w:eastAsia="zh-CN"/>
              </w:rPr>
              <w:t>≥20个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FF"/>
                <w:sz w:val="20"/>
                <w:szCs w:val="20"/>
                <w:u w:val="none"/>
                <w:lang w:val="en-US" w:eastAsia="zh-CN"/>
              </w:rPr>
            </w:pPr>
            <w:r>
              <w:rPr>
                <w:rFonts w:hint="eastAsia" w:ascii="宋体" w:hAnsi="宋体" w:cs="宋体"/>
                <w:i w:val="0"/>
                <w:iCs w:val="0"/>
                <w:color w:val="000000"/>
                <w:sz w:val="20"/>
                <w:szCs w:val="20"/>
                <w:u w:val="none"/>
                <w:lang w:val="en-US" w:eastAsia="zh-CN"/>
              </w:rPr>
              <w:t>实现小升规企业数量</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≥10家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建设示范区型支部</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≥10个</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组织培训次数</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themeColor="text1"/>
                <w:sz w:val="20"/>
                <w:szCs w:val="20"/>
                <w:u w:val="none"/>
                <w:lang w:val="en-US" w:eastAsia="zh-CN"/>
                <w14:textFill>
                  <w14:solidFill>
                    <w14:schemeClr w14:val="tx1"/>
                  </w14:solidFill>
                </w14:textFill>
              </w:rPr>
            </w:pPr>
            <w:r>
              <w:rPr>
                <w:rFonts w:hint="eastAsia" w:ascii="宋体" w:hAnsi="宋体" w:cs="宋体"/>
                <w:i w:val="0"/>
                <w:iCs w:val="0"/>
                <w:color w:val="000000" w:themeColor="text1"/>
                <w:sz w:val="20"/>
                <w:szCs w:val="20"/>
                <w:u w:val="none"/>
                <w:lang w:val="en-US" w:eastAsia="zh-CN"/>
                <w14:textFill>
                  <w14:solidFill>
                    <w14:schemeClr w14:val="tx1"/>
                  </w14:solidFill>
                </w14:textFill>
              </w:rPr>
              <w:t>≥2次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2"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产出质量</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包扶项目达标率</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小升规企业达标率</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示范区型支部建设达标率</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100%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5"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培训内容符合度</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符合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产出时效</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区内包扶项目完成及时性</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实现小升规企业完成及时性</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rPr>
            </w:pPr>
            <w:r>
              <w:rPr>
                <w:rFonts w:hint="eastAsia" w:ascii="宋体" w:hAnsi="宋体" w:cs="宋体"/>
                <w:i w:val="0"/>
                <w:iCs w:val="0"/>
                <w:color w:val="000000"/>
                <w:sz w:val="20"/>
                <w:szCs w:val="20"/>
                <w:u w:val="none"/>
                <w:lang w:val="en-US" w:eastAsia="zh-CN"/>
              </w:rPr>
              <w:t>建设示范区型支部及时性</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培训及时性</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2022年全年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3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产出成本</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rPr>
            </w:pPr>
            <w:r>
              <w:rPr>
                <w:rFonts w:hint="default" w:ascii="宋体" w:hAnsi="宋体" w:eastAsia="宋体" w:cs="宋体"/>
                <w:i w:val="0"/>
                <w:iCs w:val="0"/>
                <w:color w:val="000000"/>
                <w:sz w:val="20"/>
                <w:szCs w:val="20"/>
                <w:u w:val="none"/>
                <w:lang w:val="en-US"/>
              </w:rPr>
              <w:t>区内企业管理服务</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default" w:ascii="宋体" w:hAnsi="宋体" w:eastAsia="宋体" w:cs="宋体"/>
                <w:i w:val="0"/>
                <w:iCs w:val="0"/>
                <w:color w:val="000000"/>
                <w:sz w:val="20"/>
                <w:szCs w:val="20"/>
                <w:u w:val="none"/>
                <w:lang w:val="en-US" w:eastAsia="zh-CN"/>
              </w:rPr>
              <w:t>协调考察工作</w:t>
            </w:r>
            <w:r>
              <w:rPr>
                <w:rFonts w:hint="eastAsia" w:ascii="宋体" w:hAnsi="宋体" w:cs="宋体"/>
                <w:i w:val="0"/>
                <w:iCs w:val="0"/>
                <w:color w:val="000000"/>
                <w:sz w:val="20"/>
                <w:szCs w:val="20"/>
                <w:u w:val="none"/>
                <w:lang w:val="en-US" w:eastAsia="zh-CN"/>
              </w:rPr>
              <w:t>成本</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cs="宋体"/>
                <w:i w:val="0"/>
                <w:iCs w:val="0"/>
                <w:color w:val="000000"/>
                <w:sz w:val="20"/>
                <w:szCs w:val="20"/>
                <w:u w:val="none"/>
                <w:lang w:val="en-US" w:eastAsia="zh-CN"/>
              </w:rPr>
              <w:t>≤8万元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党建工作成本</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≤4.74万元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效益</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经济社会效益</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工业企业产值实现增长</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增长</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产业园持续投资</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持续</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提高园区服务力度</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推动园区内项目建设</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推动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协调解决企业存在问题</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协调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56"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可持续影响</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规范行业管理</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规范</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人才队伍建设水平</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提高</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强化人员培训</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强化</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391" w:hRule="atLeast"/>
        </w:trPr>
        <w:tc>
          <w:tcPr>
            <w:tcW w:w="429"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满意度</w:t>
            </w:r>
          </w:p>
        </w:tc>
        <w:tc>
          <w:tcPr>
            <w:tcW w:w="574" w:type="pct"/>
            <w:vMerge w:val="restar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服务对象满意度</w:t>
            </w: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sz w:val="20"/>
                <w:szCs w:val="20"/>
                <w:u w:val="none"/>
                <w:lang w:val="en-US" w:eastAsia="zh-CN"/>
              </w:rPr>
            </w:pPr>
            <w:r>
              <w:rPr>
                <w:rFonts w:hint="eastAsia" w:ascii="宋体" w:hAnsi="宋体" w:cs="宋体"/>
                <w:i w:val="0"/>
                <w:iCs w:val="0"/>
                <w:color w:val="000000"/>
                <w:sz w:val="20"/>
                <w:szCs w:val="20"/>
                <w:u w:val="none"/>
                <w:lang w:val="en-US" w:eastAsia="zh-CN"/>
              </w:rPr>
              <w:t>入驻企业满意度</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sz w:val="20"/>
                <w:szCs w:val="20"/>
                <w:u w:val="none"/>
              </w:rPr>
            </w:pPr>
            <w:r>
              <w:rPr>
                <w:rFonts w:hint="eastAsia" w:ascii="宋体" w:hAnsi="宋体" w:eastAsia="宋体" w:cs="宋体"/>
                <w:i w:val="0"/>
                <w:iCs w:val="0"/>
                <w:color w:val="000000"/>
                <w:kern w:val="0"/>
                <w:sz w:val="20"/>
                <w:szCs w:val="20"/>
                <w:u w:val="none"/>
                <w:lang w:val="en-US" w:eastAsia="zh-CN" w:bidi="ar"/>
              </w:rPr>
              <w:t>≥85%</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288" w:hRule="atLeast"/>
        </w:trPr>
        <w:tc>
          <w:tcPr>
            <w:tcW w:w="429"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574" w:type="pct"/>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outlineLvl w:val="9"/>
              <w:rPr>
                <w:rFonts w:hint="eastAsia" w:ascii="宋体" w:hAnsi="宋体" w:eastAsia="宋体" w:cs="宋体"/>
                <w:i w:val="0"/>
                <w:iCs w:val="0"/>
                <w:color w:val="000000"/>
                <w:sz w:val="20"/>
                <w:szCs w:val="20"/>
                <w:u w:val="none"/>
              </w:rPr>
            </w:pPr>
          </w:p>
        </w:tc>
        <w:tc>
          <w:tcPr>
            <w:tcW w:w="1666"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default"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工作人员满意度</w:t>
            </w:r>
          </w:p>
        </w:tc>
        <w:tc>
          <w:tcPr>
            <w:tcW w:w="2329" w:type="pct"/>
            <w:tcBorders>
              <w:top w:val="single" w:color="000000" w:sz="4" w:space="0"/>
              <w:left w:val="single" w:color="000000" w:sz="4" w:space="0"/>
              <w:bottom w:val="single" w:color="000000" w:sz="4" w:space="0"/>
              <w:right w:val="single" w:color="000000" w:sz="4" w:space="0"/>
            </w:tcBorders>
            <w:shd w:val="clear" w:color="auto" w:fill="auto"/>
            <w:vAlign w:val="center"/>
          </w:tcPr>
          <w:p>
            <w:pPr>
              <w:keepNext w:val="0"/>
              <w:keepLines w:val="0"/>
              <w:widowControl/>
              <w:suppressLineNumbers w:val="0"/>
              <w:jc w:val="center"/>
              <w:textAlignment w:val="center"/>
              <w:outlineLvl w:val="9"/>
              <w:rPr>
                <w:rFonts w:hint="eastAsia" w:ascii="宋体" w:hAnsi="宋体" w:eastAsia="宋体" w:cs="宋体"/>
                <w:i w:val="0"/>
                <w:iCs w:val="0"/>
                <w:color w:val="000000"/>
                <w:kern w:val="0"/>
                <w:sz w:val="20"/>
                <w:szCs w:val="20"/>
                <w:u w:val="none"/>
                <w:lang w:val="en-US" w:eastAsia="zh-CN" w:bidi="ar"/>
              </w:rPr>
            </w:pPr>
            <w:r>
              <w:rPr>
                <w:rFonts w:hint="eastAsia" w:ascii="宋体" w:hAnsi="宋体" w:eastAsia="宋体" w:cs="宋体"/>
                <w:i w:val="0"/>
                <w:iCs w:val="0"/>
                <w:color w:val="000000"/>
                <w:kern w:val="0"/>
                <w:sz w:val="20"/>
                <w:szCs w:val="20"/>
                <w:u w:val="none"/>
                <w:lang w:val="en-US" w:eastAsia="zh-CN" w:bidi="ar"/>
              </w:rPr>
              <w:t>≥85%</w:t>
            </w:r>
          </w:p>
        </w:tc>
      </w:tr>
    </w:tbl>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outlineLvl w:val="9"/>
        <w:rPr>
          <w:rFonts w:hint="default" w:ascii="楷体" w:hAnsi="楷体" w:eastAsia="楷体" w:cs="楷体"/>
          <w:sz w:val="32"/>
          <w:szCs w:val="32"/>
          <w:lang w:val="en-US" w:eastAsia="zh-CN"/>
        </w:rPr>
      </w:pPr>
      <w:bookmarkStart w:id="11" w:name="_Toc29662"/>
      <w:r>
        <w:rPr>
          <w:rFonts w:hint="eastAsia" w:ascii="楷体" w:hAnsi="楷体" w:eastAsia="楷体" w:cs="楷体"/>
          <w:sz w:val="32"/>
          <w:szCs w:val="32"/>
          <w:lang w:val="en-US" w:eastAsia="zh-CN"/>
        </w:rPr>
        <w:t>（三）资金收支、结余情况</w:t>
      </w:r>
      <w:bookmarkEnd w:id="11"/>
    </w:p>
    <w:p>
      <w:pPr>
        <w:pStyle w:val="2"/>
        <w:spacing w:after="0" w:afterAutospacing="0"/>
        <w:ind w:firstLine="640" w:firstLineChars="200"/>
        <w:outlineLvl w:val="9"/>
        <w:rPr>
          <w:rFonts w:hint="eastAsia" w:ascii="Times New Roman" w:hAnsi="Times New Roman" w:eastAsia="仿宋_GB2312" w:cs="仿宋_GB2312"/>
          <w:color w:val="auto"/>
          <w:kern w:val="2"/>
          <w:sz w:val="32"/>
          <w:szCs w:val="32"/>
          <w:highlight w:val="none"/>
          <w:lang w:val="en-US" w:eastAsia="zh-CN" w:bidi="ar-SA"/>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20</w:t>
      </w:r>
      <w:r>
        <w:rPr>
          <w:rFonts w:hint="eastAsia" w:ascii="Times New Roman" w:hAnsi="Times New Roman" w:cs="Times New Roman"/>
          <w:b w:val="0"/>
          <w:bCs w:val="0"/>
          <w:color w:val="000000" w:themeColor="text1"/>
          <w:kern w:val="2"/>
          <w:sz w:val="32"/>
          <w:szCs w:val="32"/>
          <w:lang w:val="en-US" w:eastAsia="zh-CN" w:bidi="ar-SA"/>
          <w14:textFill>
            <w14:solidFill>
              <w14:schemeClr w14:val="tx1"/>
            </w14:solidFill>
          </w14:textFill>
        </w:rPr>
        <w:t>22</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仿宋_GB2312" w:cs="仿宋_GB2312"/>
          <w:color w:val="auto"/>
          <w:sz w:val="32"/>
          <w:szCs w:val="32"/>
          <w:highlight w:val="none"/>
          <w:lang w:val="en-US" w:eastAsia="zh-CN"/>
        </w:rPr>
        <w:t>汇通产业园事业服务中心</w:t>
      </w:r>
      <w:r>
        <w:rPr>
          <w:rFonts w:hint="eastAsia" w:ascii="Times New Roman" w:hAnsi="Times New Roman" w:eastAsia="仿宋_GB2312" w:cs="仿宋_GB2312"/>
          <w:color w:val="auto"/>
          <w:kern w:val="2"/>
          <w:sz w:val="32"/>
          <w:szCs w:val="32"/>
          <w:highlight w:val="none"/>
          <w:lang w:val="en-US" w:eastAsia="zh-CN" w:bidi="ar-SA"/>
        </w:rPr>
        <w:t>财政拨款收入预算为36.06万元，调整后预算数为11.07万元，2021年末结余结转0万元。</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20</w:t>
      </w:r>
      <w:r>
        <w:rPr>
          <w:rFonts w:hint="eastAsia" w:cs="Times New Roman"/>
          <w:b w:val="0"/>
          <w:bCs w:val="0"/>
          <w:color w:val="000000" w:themeColor="text1"/>
          <w:kern w:val="2"/>
          <w:sz w:val="32"/>
          <w:szCs w:val="32"/>
          <w:lang w:val="en-US" w:eastAsia="zh-CN" w:bidi="ar-SA"/>
          <w14:textFill>
            <w14:solidFill>
              <w14:schemeClr w14:val="tx1"/>
            </w14:solidFill>
          </w14:textFill>
        </w:rPr>
        <w:t>2</w:t>
      </w:r>
      <w:r>
        <w:rPr>
          <w:rFonts w:hint="eastAsia" w:ascii="Times New Roman" w:hAnsi="Times New Roman" w:eastAsia="仿宋_GB2312" w:cs="仿宋_GB2312"/>
          <w:color w:val="auto"/>
          <w:kern w:val="2"/>
          <w:sz w:val="32"/>
          <w:szCs w:val="32"/>
          <w:highlight w:val="none"/>
          <w:lang w:val="en-US" w:eastAsia="zh-CN" w:bidi="ar-SA"/>
        </w:rPr>
        <w:t>2</w:t>
      </w:r>
      <w:r>
        <w:rPr>
          <w:rFonts w:hint="default" w:ascii="Times New Roman" w:hAnsi="Times New Roman" w:eastAsia="仿宋_GB2312" w:cs="仿宋_GB2312"/>
          <w:color w:val="auto"/>
          <w:kern w:val="2"/>
          <w:sz w:val="32"/>
          <w:szCs w:val="32"/>
          <w:highlight w:val="none"/>
          <w:lang w:val="en-US" w:eastAsia="zh-CN" w:bidi="ar-SA"/>
        </w:rPr>
        <w:t>年</w:t>
      </w:r>
      <w:r>
        <w:rPr>
          <w:rFonts w:hint="eastAsia" w:ascii="Times New Roman" w:hAnsi="Times New Roman" w:eastAsia="仿宋_GB2312" w:cs="仿宋_GB2312"/>
          <w:color w:val="auto"/>
          <w:kern w:val="2"/>
          <w:sz w:val="32"/>
          <w:szCs w:val="32"/>
          <w:highlight w:val="none"/>
          <w:lang w:val="en-US" w:eastAsia="zh-CN" w:bidi="ar-SA"/>
        </w:rPr>
        <w:t>，汇通产业园事业服务中心部门财政拨款支出决算为11.07万元，其中基本支出4.77万元，项目支出6.3万元，</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0"/>
        <w:jc w:val="both"/>
        <w:textAlignment w:val="auto"/>
        <w:outlineLvl w:val="9"/>
        <w:rPr>
          <w:rFonts w:hint="default" w:ascii="楷体" w:hAnsi="楷体" w:eastAsia="楷体" w:cs="楷体"/>
          <w:sz w:val="32"/>
          <w:szCs w:val="32"/>
          <w:lang w:val="en-US" w:eastAsia="zh-CN"/>
        </w:rPr>
      </w:pPr>
      <w:bookmarkStart w:id="12" w:name="_Toc32483"/>
      <w:bookmarkStart w:id="13" w:name="_Toc1955"/>
      <w:r>
        <w:rPr>
          <w:rFonts w:hint="eastAsia" w:ascii="楷体" w:hAnsi="楷体" w:eastAsia="楷体" w:cs="楷体"/>
          <w:sz w:val="32"/>
          <w:szCs w:val="32"/>
          <w:lang w:val="en-US" w:eastAsia="zh-CN"/>
        </w:rPr>
        <w:t>（四）评分结论</w:t>
      </w:r>
      <w:bookmarkEnd w:id="12"/>
      <w:bookmarkEnd w:id="13"/>
    </w:p>
    <w:p>
      <w:pPr>
        <w:ind w:firstLine="640" w:firstLineChars="200"/>
        <w:outlineLvl w:val="9"/>
        <w:rPr>
          <w:rFonts w:hint="eastAsia" w:ascii="Times New Roman" w:hAnsi="Times New Roman" w:eastAsia="仿宋_GB2312" w:cs="仿宋_GB2312"/>
          <w:sz w:val="32"/>
          <w:szCs w:val="32"/>
          <w:lang w:val="en-US" w:eastAsia="zh-CN"/>
        </w:rPr>
      </w:pPr>
      <w:r>
        <w:rPr>
          <w:rFonts w:hint="eastAsia" w:ascii="Times New Roman" w:hAnsi="Times New Roman" w:eastAsia="仿宋_GB2312" w:cs="仿宋_GB2312"/>
          <w:sz w:val="32"/>
          <w:szCs w:val="32"/>
          <w:lang w:val="en-US" w:eastAsia="zh-CN"/>
        </w:rPr>
        <w:t>通过对</w:t>
      </w:r>
      <w:r>
        <w:rPr>
          <w:rFonts w:hint="eastAsia" w:ascii="Times New Roman" w:hAnsi="Times New Roman" w:eastAsia="仿宋_GB2312" w:cs="Times New Roman"/>
          <w:color w:val="auto"/>
          <w:kern w:val="2"/>
          <w:sz w:val="32"/>
          <w:szCs w:val="32"/>
          <w:highlight w:val="none"/>
          <w:lang w:val="en-US" w:eastAsia="zh-CN" w:bidi="ar-SA"/>
        </w:rPr>
        <w:t>汇通产业园事业服务中心</w:t>
      </w:r>
      <w:r>
        <w:rPr>
          <w:rFonts w:hint="eastAsia" w:ascii="仿宋_GB2312" w:hAnsi="仿宋_GB2312" w:eastAsia="仿宋_GB2312" w:cs="仿宋_GB2312"/>
          <w:sz w:val="32"/>
          <w:szCs w:val="32"/>
          <w:lang w:val="en-US" w:eastAsia="zh-CN"/>
        </w:rPr>
        <w:t>部门整体履职效能、管理效率、社会效应、可持续性</w:t>
      </w:r>
      <w:r>
        <w:rPr>
          <w:rFonts w:hint="eastAsia" w:ascii="Times New Roman" w:hAnsi="Times New Roman" w:eastAsia="仿宋_GB2312" w:cs="仿宋_GB2312"/>
          <w:sz w:val="32"/>
          <w:szCs w:val="32"/>
          <w:lang w:val="en-US" w:eastAsia="zh-CN"/>
        </w:rPr>
        <w:t>四个方面进行评价，根据各项指标得分</w:t>
      </w:r>
      <w:r>
        <w:rPr>
          <w:rFonts w:hint="eastAsia" w:ascii="Times New Roman" w:hAnsi="Times New Roman" w:eastAsia="仿宋_GB2312" w:cs="Times New Roman"/>
          <w:sz w:val="32"/>
          <w:szCs w:val="32"/>
          <w:lang w:val="en-US" w:eastAsia="zh-CN"/>
        </w:rPr>
        <w:t>情况及资金权重，得出部门总体得分为</w:t>
      </w:r>
      <w:r>
        <w:rPr>
          <w:rFonts w:hint="eastAsia" w:ascii="Times New Roman" w:hAnsi="Times New Roman" w:eastAsia="仿宋_GB2312" w:cs="Times New Roman"/>
          <w:sz w:val="32"/>
          <w:szCs w:val="32"/>
          <w:highlight w:val="none"/>
          <w:lang w:val="en-US" w:eastAsia="zh-CN"/>
        </w:rPr>
        <w:t>86.5</w:t>
      </w:r>
      <w:r>
        <w:rPr>
          <w:rFonts w:hint="eastAsia" w:ascii="Times New Roman" w:hAnsi="Times New Roman" w:eastAsia="仿宋_GB2312" w:cs="Times New Roman"/>
          <w:sz w:val="32"/>
          <w:szCs w:val="32"/>
          <w:lang w:val="en-US" w:eastAsia="zh-CN"/>
        </w:rPr>
        <w:t>分，综合绩效评价等</w:t>
      </w:r>
      <w:r>
        <w:rPr>
          <w:rFonts w:hint="eastAsia" w:ascii="Times New Roman" w:hAnsi="Times New Roman" w:eastAsia="仿宋_GB2312" w:cs="仿宋_GB2312"/>
          <w:sz w:val="32"/>
          <w:szCs w:val="32"/>
          <w:lang w:val="en-US" w:eastAsia="zh-CN"/>
        </w:rPr>
        <w:t>级为“良”。</w:t>
      </w:r>
    </w:p>
    <w:p>
      <w:pPr>
        <w:ind w:firstLine="640" w:firstLineChars="200"/>
        <w:outlineLvl w:val="9"/>
        <w:rPr>
          <w:rFonts w:hint="eastAsia" w:ascii="黑体" w:hAnsi="黑体" w:eastAsia="黑体" w:cs="黑体"/>
          <w:b w:val="0"/>
          <w:bCs/>
          <w:kern w:val="0"/>
          <w:sz w:val="32"/>
          <w:szCs w:val="32"/>
          <w:lang w:val="en-US" w:eastAsia="zh-CN"/>
        </w:rPr>
      </w:pPr>
      <w:bookmarkStart w:id="14" w:name="_Toc14621"/>
      <w:r>
        <w:rPr>
          <w:rFonts w:hint="eastAsia" w:ascii="黑体" w:hAnsi="黑体" w:eastAsia="黑体" w:cs="黑体"/>
          <w:b w:val="0"/>
          <w:bCs/>
          <w:kern w:val="0"/>
          <w:sz w:val="32"/>
          <w:szCs w:val="32"/>
          <w:lang w:val="en-US" w:eastAsia="zh-CN"/>
        </w:rPr>
        <w:t>二、主要经验和做法</w:t>
      </w:r>
      <w:bookmarkEnd w:id="14"/>
    </w:p>
    <w:p>
      <w:pPr>
        <w:keepNext w:val="0"/>
        <w:keepLines w:val="0"/>
        <w:pageBreakBefore w:val="0"/>
        <w:widowControl w:val="0"/>
        <w:kinsoku/>
        <w:wordWrap/>
        <w:overflowPunct/>
        <w:topLinePunct w:val="0"/>
        <w:autoSpaceDE w:val="0"/>
        <w:autoSpaceDN w:val="0"/>
        <w:bidi w:val="0"/>
        <w:adjustRightInd/>
        <w:snapToGrid/>
        <w:spacing w:line="360" w:lineRule="auto"/>
        <w:ind w:right="0" w:rightChars="0" w:firstLine="643" w:firstLineChars="200"/>
        <w:textAlignment w:val="auto"/>
        <w:outlineLvl w:val="9"/>
        <w:rPr>
          <w:rFonts w:hint="eastAsia" w:ascii="Times New Roman" w:hAnsi="Times New Roman" w:eastAsia="仿宋_GB2312" w:cs="Times New Roman"/>
          <w:b/>
          <w:bCs/>
          <w:kern w:val="2"/>
          <w:sz w:val="32"/>
          <w:szCs w:val="32"/>
          <w:highlight w:val="none"/>
          <w:lang w:val="en-US" w:eastAsia="zh-CN" w:bidi="ar-SA"/>
        </w:rPr>
      </w:pPr>
      <w:bookmarkStart w:id="15" w:name="_Toc7619"/>
      <w:r>
        <w:rPr>
          <w:rFonts w:hint="eastAsia" w:ascii="Times New Roman" w:hAnsi="Times New Roman" w:eastAsia="仿宋_GB2312" w:cs="Times New Roman"/>
          <w:b/>
          <w:bCs/>
          <w:kern w:val="2"/>
          <w:sz w:val="32"/>
          <w:szCs w:val="32"/>
          <w:highlight w:val="none"/>
          <w:lang w:val="en-US" w:eastAsia="zh-CN" w:bidi="ar-SA"/>
        </w:rPr>
        <w:t>发挥党建引领作用全力打造党建联盟</w:t>
      </w:r>
      <w:bookmarkEnd w:id="15"/>
    </w:p>
    <w:p>
      <w:pPr>
        <w:pStyle w:val="16"/>
        <w:outlineLvl w:val="9"/>
        <w:rPr>
          <w:rFonts w:hint="default" w:ascii="Times New Roman" w:hAnsi="Times New Roman" w:eastAsia="仿宋_GB2312" w:cs="Times New Roman"/>
          <w:b w:val="0"/>
          <w:bCs w:val="0"/>
          <w:kern w:val="2"/>
          <w:sz w:val="32"/>
          <w:szCs w:val="32"/>
          <w:highlight w:val="none"/>
          <w:lang w:val="en-US" w:eastAsia="zh-CN" w:bidi="ar-SA"/>
        </w:rPr>
      </w:pPr>
      <w:r>
        <w:rPr>
          <w:rFonts w:hint="eastAsia" w:ascii="Times New Roman" w:hAnsi="Times New Roman" w:eastAsia="仿宋_GB2312" w:cs="Times New Roman"/>
          <w:b w:val="0"/>
          <w:bCs w:val="0"/>
          <w:kern w:val="2"/>
          <w:sz w:val="32"/>
          <w:szCs w:val="32"/>
          <w:highlight w:val="none"/>
          <w:lang w:val="en-US" w:eastAsia="zh-CN" w:bidi="ar-SA"/>
        </w:rPr>
        <w:t>按照开发区党工委安排部署，汇通党委牵头成立了以山西德元堂药业有限公司为盟主的示范区晋中开发区医药产业党建联盟，并充分发挥党建联盟作用，紧紧围绕产业转型升级，发展壮大医药产业链条，实现企业抱团取暖，促进企业高质量发展。</w:t>
      </w:r>
    </w:p>
    <w:p>
      <w:pPr>
        <w:pStyle w:val="20"/>
        <w:ind w:left="0" w:leftChars="0" w:firstLine="640" w:firstLineChars="200"/>
        <w:outlineLvl w:val="9"/>
        <w:rPr>
          <w:rFonts w:hint="eastAsia"/>
          <w:lang w:val="en-US" w:eastAsia="zh-CN"/>
        </w:rPr>
      </w:pPr>
      <w:bookmarkStart w:id="16" w:name="_Toc1601"/>
      <w:r>
        <w:rPr>
          <w:rFonts w:hint="eastAsia" w:ascii="黑体" w:hAnsi="黑体" w:eastAsia="黑体" w:cs="黑体"/>
          <w:sz w:val="32"/>
          <w:szCs w:val="32"/>
          <w:lang w:val="en-US" w:eastAsia="zh-CN"/>
        </w:rPr>
        <w:t>三、存在的问题</w:t>
      </w:r>
      <w:bookmarkEnd w:id="16"/>
    </w:p>
    <w:p>
      <w:pPr>
        <w:pStyle w:val="15"/>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outlineLvl w:val="9"/>
        <w:rPr>
          <w:rFonts w:hint="default" w:ascii="Times New Roman" w:hAnsi="Times New Roman" w:eastAsia="楷体" w:cs="Times New Roman"/>
          <w:sz w:val="32"/>
          <w:szCs w:val="32"/>
          <w:lang w:val="en-US" w:eastAsia="zh-CN"/>
        </w:rPr>
      </w:pPr>
      <w:bookmarkStart w:id="17" w:name="_Toc17505"/>
      <w:r>
        <w:rPr>
          <w:rFonts w:hint="eastAsia" w:ascii="楷体" w:hAnsi="楷体" w:eastAsia="楷体" w:cs="楷体"/>
          <w:b w:val="0"/>
          <w:bCs/>
          <w:color w:val="auto"/>
          <w:sz w:val="32"/>
          <w:szCs w:val="32"/>
          <w:highlight w:val="none"/>
          <w:lang w:val="en-US" w:eastAsia="zh-CN"/>
        </w:rPr>
        <w:t>（一）预算资金调整率较大</w:t>
      </w:r>
      <w:bookmarkEnd w:id="17"/>
    </w:p>
    <w:p>
      <w:pPr>
        <w:pStyle w:val="1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Times New Roman" w:hAnsi="Times New Roman" w:eastAsia="仿宋_GB2312" w:cs="Times New Roman"/>
          <w:bCs/>
          <w:color w:val="auto"/>
          <w:spacing w:val="6"/>
          <w:kern w:val="2"/>
          <w:sz w:val="32"/>
          <w:szCs w:val="32"/>
          <w:lang w:val="en-US" w:eastAsia="zh-CN" w:bidi="ar-SA"/>
        </w:rPr>
      </w:pP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20</w:t>
      </w:r>
      <w:r>
        <w:rPr>
          <w:rFonts w:hint="eastAsia" w:ascii="Times New Roman" w:hAnsi="Times New Roman" w:cs="Times New Roman"/>
          <w:b w:val="0"/>
          <w:bCs w:val="0"/>
          <w:color w:val="000000" w:themeColor="text1"/>
          <w:kern w:val="2"/>
          <w:sz w:val="32"/>
          <w:szCs w:val="32"/>
          <w:lang w:val="en-US" w:eastAsia="zh-CN" w:bidi="ar-SA"/>
          <w14:textFill>
            <w14:solidFill>
              <w14:schemeClr w14:val="tx1"/>
            </w14:solidFill>
          </w14:textFill>
        </w:rPr>
        <w:t>22</w:t>
      </w:r>
      <w:r>
        <w:rPr>
          <w:rFonts w:hint="default" w:ascii="Times New Roman" w:hAnsi="Times New Roman" w:eastAsia="仿宋_GB2312" w:cs="Times New Roman"/>
          <w:b w:val="0"/>
          <w:bCs w:val="0"/>
          <w:color w:val="000000" w:themeColor="text1"/>
          <w:kern w:val="2"/>
          <w:sz w:val="32"/>
          <w:szCs w:val="32"/>
          <w:lang w:val="en-US" w:eastAsia="zh-CN" w:bidi="ar-SA"/>
          <w14:textFill>
            <w14:solidFill>
              <w14:schemeClr w14:val="tx1"/>
            </w14:solidFill>
          </w14:textFill>
        </w:rPr>
        <w:t>年</w:t>
      </w:r>
      <w:r>
        <w:rPr>
          <w:rFonts w:hint="eastAsia" w:ascii="Times New Roman" w:hAnsi="Times New Roman" w:eastAsia="仿宋_GB2312" w:cs="仿宋_GB2312"/>
          <w:color w:val="auto"/>
          <w:sz w:val="32"/>
          <w:szCs w:val="32"/>
          <w:highlight w:val="none"/>
          <w:lang w:val="en-US" w:eastAsia="zh-CN"/>
        </w:rPr>
        <w:t>汇通产业园事业服务中心</w:t>
      </w:r>
      <w:r>
        <w:rPr>
          <w:rFonts w:hint="eastAsia" w:ascii="Times New Roman" w:hAnsi="Times New Roman" w:eastAsia="仿宋_GB2312" w:cs="仿宋_GB2312"/>
          <w:color w:val="auto"/>
          <w:kern w:val="2"/>
          <w:sz w:val="32"/>
          <w:szCs w:val="32"/>
          <w:highlight w:val="none"/>
          <w:lang w:val="en-US" w:eastAsia="zh-CN" w:bidi="ar-SA"/>
        </w:rPr>
        <w:t>财政拨款收入预算为36.06万元，调整后预算数为11.07万元，</w:t>
      </w:r>
      <w:r>
        <w:rPr>
          <w:rFonts w:hint="eastAsia" w:ascii="Times New Roman" w:hAnsi="Times New Roman" w:eastAsia="仿宋_GB2312" w:cs="Times New Roman"/>
          <w:sz w:val="32"/>
          <w:szCs w:val="32"/>
          <w:highlight w:val="none"/>
          <w:lang w:val="en-US" w:eastAsia="zh-CN"/>
        </w:rPr>
        <w:t>预算调整率为69.3%</w:t>
      </w:r>
      <w:r>
        <w:rPr>
          <w:rFonts w:hint="eastAsia" w:ascii="Times New Roman" w:hAnsi="Times New Roman" w:eastAsia="仿宋_GB2312" w:cs="Times New Roman"/>
          <w:bCs/>
          <w:color w:val="auto"/>
          <w:spacing w:val="6"/>
          <w:kern w:val="2"/>
          <w:sz w:val="32"/>
          <w:szCs w:val="32"/>
          <w:lang w:val="en-US" w:eastAsia="zh-CN" w:bidi="ar-SA"/>
        </w:rPr>
        <w:t>。</w:t>
      </w:r>
      <w:r>
        <w:rPr>
          <w:rFonts w:hint="eastAsia" w:ascii="Times New Roman" w:hAnsi="Times New Roman" w:eastAsia="仿宋_GB2312" w:cs="仿宋_GB2312"/>
          <w:color w:val="auto"/>
          <w:sz w:val="32"/>
          <w:szCs w:val="32"/>
          <w:highlight w:val="none"/>
          <w:lang w:val="en-US" w:eastAsia="zh-CN"/>
        </w:rPr>
        <w:t>汇通产业园事业服务中心</w:t>
      </w:r>
      <w:r>
        <w:rPr>
          <w:rFonts w:hint="eastAsia" w:ascii="Times New Roman" w:hAnsi="Times New Roman" w:eastAsia="仿宋_GB2312" w:cs="Times New Roman"/>
          <w:bCs/>
          <w:color w:val="auto"/>
          <w:spacing w:val="6"/>
          <w:kern w:val="2"/>
          <w:sz w:val="32"/>
          <w:szCs w:val="32"/>
          <w:lang w:val="en-US" w:eastAsia="zh-CN" w:bidi="ar-SA"/>
        </w:rPr>
        <w:t>年初编制预算时未能对本年度的工作活动进行合理预测，预算调整幅度较大，预算刚性约束较弱。</w:t>
      </w:r>
    </w:p>
    <w:p>
      <w:pPr>
        <w:pStyle w:val="15"/>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outlineLvl w:val="9"/>
        <w:rPr>
          <w:rFonts w:hint="default" w:ascii="Times New Roman" w:hAnsi="Times New Roman" w:eastAsia="楷体" w:cs="Times New Roman"/>
          <w:sz w:val="32"/>
          <w:szCs w:val="32"/>
          <w:lang w:val="en-US" w:eastAsia="zh-CN"/>
        </w:rPr>
      </w:pPr>
      <w:bookmarkStart w:id="18" w:name="_Toc12900"/>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二</w:t>
      </w:r>
      <w:r>
        <w:rPr>
          <w:rFonts w:hint="default" w:ascii="Times New Roman" w:hAnsi="Times New Roman" w:eastAsia="楷体" w:cs="Times New Roman"/>
          <w:sz w:val="32"/>
          <w:szCs w:val="32"/>
          <w:lang w:val="en-US" w:eastAsia="zh-CN"/>
        </w:rPr>
        <w:t>）预算绩效管理机制不健全</w:t>
      </w:r>
      <w:bookmarkEnd w:id="18"/>
    </w:p>
    <w:p>
      <w:pPr>
        <w:ind w:firstLine="640" w:firstLineChars="200"/>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color w:val="000000"/>
          <w:spacing w:val="0"/>
          <w:w w:val="100"/>
          <w:position w:val="0"/>
          <w:sz w:val="32"/>
          <w:szCs w:val="32"/>
          <w:highlight w:val="none"/>
          <w:lang w:val="en-US" w:eastAsia="zh-CN"/>
        </w:rPr>
        <w:t>一是</w:t>
      </w:r>
      <w:r>
        <w:rPr>
          <w:rFonts w:hint="default" w:ascii="Times New Roman" w:hAnsi="Times New Roman" w:eastAsia="仿宋_GB2312" w:cs="Times New Roman"/>
          <w:kern w:val="2"/>
          <w:sz w:val="32"/>
          <w:szCs w:val="32"/>
          <w:highlight w:val="none"/>
          <w:lang w:val="en-US" w:eastAsia="zh-CN" w:bidi="ar-SA"/>
        </w:rPr>
        <w:t>汇通产业园事业服务中心</w:t>
      </w:r>
      <w:r>
        <w:rPr>
          <w:rFonts w:hint="default" w:ascii="Times New Roman" w:hAnsi="Times New Roman" w:eastAsia="仿宋_GB2312" w:cs="Times New Roman"/>
          <w:color w:val="000000"/>
          <w:spacing w:val="0"/>
          <w:w w:val="100"/>
          <w:position w:val="0"/>
          <w:sz w:val="32"/>
          <w:szCs w:val="32"/>
          <w:highlight w:val="none"/>
          <w:lang w:val="en-US" w:eastAsia="zh-CN"/>
        </w:rPr>
        <w:t>目前还未成立预算绩效管理工作领导小组，暂由财务人员负责预算管理绩效管理相关工作，预算绩效管理工作缺少组织保障；二是未依据部门实际情况制定了本单位预算绩效管理制度，预算绩效管理工作缺少制度保障。</w:t>
      </w:r>
    </w:p>
    <w:p>
      <w:pPr>
        <w:pStyle w:val="15"/>
        <w:keepNext w:val="0"/>
        <w:keepLines w:val="0"/>
        <w:pageBreakBefore w:val="0"/>
        <w:widowControl w:val="0"/>
        <w:kinsoku/>
        <w:wordWrap/>
        <w:overflowPunct/>
        <w:topLinePunct w:val="0"/>
        <w:autoSpaceDE/>
        <w:autoSpaceDN/>
        <w:bidi w:val="0"/>
        <w:adjustRightInd/>
        <w:snapToGrid/>
        <w:spacing w:after="0"/>
        <w:ind w:left="0" w:leftChars="0" w:firstLine="640" w:firstLineChars="200"/>
        <w:textAlignment w:val="auto"/>
        <w:outlineLvl w:val="9"/>
        <w:rPr>
          <w:rFonts w:hint="default" w:ascii="Times New Roman" w:hAnsi="Times New Roman" w:eastAsia="楷体" w:cs="Times New Roman"/>
          <w:sz w:val="32"/>
          <w:szCs w:val="32"/>
          <w:lang w:val="en-US" w:eastAsia="zh-CN"/>
        </w:rPr>
      </w:pPr>
      <w:bookmarkStart w:id="19" w:name="_Toc421"/>
      <w:r>
        <w:rPr>
          <w:rFonts w:hint="default" w:ascii="Times New Roman" w:hAnsi="Times New Roman" w:eastAsia="楷体" w:cs="Times New Roman"/>
          <w:sz w:val="32"/>
          <w:szCs w:val="32"/>
          <w:lang w:val="en-US" w:eastAsia="zh-CN"/>
        </w:rPr>
        <w:t>（</w:t>
      </w:r>
      <w:r>
        <w:rPr>
          <w:rFonts w:hint="eastAsia" w:ascii="Times New Roman" w:hAnsi="Times New Roman" w:eastAsia="楷体" w:cs="Times New Roman"/>
          <w:sz w:val="32"/>
          <w:szCs w:val="32"/>
          <w:lang w:val="en-US" w:eastAsia="zh-CN"/>
        </w:rPr>
        <w:t>三</w:t>
      </w:r>
      <w:r>
        <w:rPr>
          <w:rFonts w:hint="default" w:ascii="Times New Roman" w:hAnsi="Times New Roman" w:eastAsia="楷体" w:cs="Times New Roman"/>
          <w:sz w:val="32"/>
          <w:szCs w:val="32"/>
          <w:lang w:val="en-US" w:eastAsia="zh-CN"/>
        </w:rPr>
        <w:t>）政府采购预算执行率较低</w:t>
      </w:r>
      <w:bookmarkEnd w:id="19"/>
    </w:p>
    <w:p>
      <w:pPr>
        <w:spacing w:beforeAutospacing="0"/>
        <w:ind w:firstLine="640" w:firstLineChars="200"/>
        <w:outlineLvl w:val="9"/>
        <w:rPr>
          <w:rFonts w:hint="eastAsia" w:ascii="黑体" w:hAnsi="黑体" w:eastAsia="黑体" w:cs="黑体"/>
          <w:sz w:val="32"/>
          <w:szCs w:val="32"/>
          <w:lang w:val="en-US" w:eastAsia="zh-CN"/>
        </w:rPr>
      </w:pPr>
      <w:r>
        <w:rPr>
          <w:rFonts w:hint="default" w:ascii="Times New Roman" w:hAnsi="Times New Roman" w:eastAsia="仿宋_GB2312" w:cs="Times New Roman"/>
          <w:kern w:val="2"/>
          <w:sz w:val="32"/>
          <w:szCs w:val="32"/>
          <w:highlight w:val="none"/>
          <w:lang w:val="en-US" w:eastAsia="zh-CN" w:bidi="ar-SA"/>
        </w:rPr>
        <w:t>汇通产业园事业服务中心2022年政府采购预算总额6.26万元，其中：政府采购货物预算1.28万元、政府采购服务预算4.98万元。2022年实际执行</w:t>
      </w:r>
      <w:r>
        <w:rPr>
          <w:rFonts w:hint="eastAsia" w:ascii="Times New Roman" w:hAnsi="Times New Roman" w:eastAsia="仿宋_GB2312" w:cs="Times New Roman"/>
          <w:kern w:val="2"/>
          <w:sz w:val="32"/>
          <w:szCs w:val="32"/>
          <w:highlight w:val="none"/>
          <w:lang w:val="en-US" w:eastAsia="zh-CN" w:bidi="ar-SA"/>
        </w:rPr>
        <w:t>1</w:t>
      </w:r>
      <w:r>
        <w:rPr>
          <w:rFonts w:hint="default" w:ascii="Times New Roman" w:hAnsi="Times New Roman" w:eastAsia="仿宋_GB2312" w:cs="Times New Roman"/>
          <w:kern w:val="2"/>
          <w:sz w:val="32"/>
          <w:szCs w:val="32"/>
          <w:highlight w:val="none"/>
          <w:lang w:val="en-US" w:eastAsia="zh-CN" w:bidi="ar-SA"/>
        </w:rPr>
        <w:t>.</w:t>
      </w:r>
      <w:r>
        <w:rPr>
          <w:rFonts w:hint="eastAsia" w:ascii="Times New Roman" w:hAnsi="Times New Roman" w:eastAsia="仿宋_GB2312" w:cs="Times New Roman"/>
          <w:kern w:val="2"/>
          <w:sz w:val="32"/>
          <w:szCs w:val="32"/>
          <w:highlight w:val="none"/>
          <w:lang w:val="en-US" w:eastAsia="zh-CN" w:bidi="ar-SA"/>
        </w:rPr>
        <w:t>63</w:t>
      </w:r>
      <w:r>
        <w:rPr>
          <w:rFonts w:hint="default" w:ascii="Times New Roman" w:hAnsi="Times New Roman" w:eastAsia="仿宋_GB2312" w:cs="Times New Roman"/>
          <w:kern w:val="2"/>
          <w:sz w:val="32"/>
          <w:szCs w:val="32"/>
          <w:highlight w:val="none"/>
          <w:lang w:val="en-US" w:eastAsia="zh-CN" w:bidi="ar-SA"/>
        </w:rPr>
        <w:t>万元，政府采购执行率为</w:t>
      </w:r>
      <w:r>
        <w:rPr>
          <w:rFonts w:hint="eastAsia" w:ascii="Times New Roman" w:hAnsi="Times New Roman" w:eastAsia="仿宋_GB2312" w:cs="Times New Roman"/>
          <w:kern w:val="2"/>
          <w:sz w:val="32"/>
          <w:szCs w:val="32"/>
          <w:highlight w:val="none"/>
          <w:lang w:val="en-US" w:eastAsia="zh-CN" w:bidi="ar-SA"/>
        </w:rPr>
        <w:t>26.04</w:t>
      </w:r>
      <w:r>
        <w:rPr>
          <w:rFonts w:hint="default" w:ascii="Times New Roman" w:hAnsi="Times New Roman" w:eastAsia="仿宋_GB2312" w:cs="Times New Roman"/>
          <w:kern w:val="2"/>
          <w:sz w:val="32"/>
          <w:szCs w:val="32"/>
          <w:highlight w:val="none"/>
          <w:lang w:val="en-US" w:eastAsia="zh-CN" w:bidi="ar-SA"/>
        </w:rPr>
        <w:t>%，政府采购预算执行率较低</w:t>
      </w:r>
      <w:r>
        <w:rPr>
          <w:rFonts w:hint="default" w:ascii="Times New Roman" w:hAnsi="Times New Roman" w:eastAsia="仿宋_GB2312" w:cs="Times New Roman"/>
          <w:b w:val="0"/>
          <w:bCs w:val="0"/>
          <w:color w:val="auto"/>
          <w:sz w:val="32"/>
          <w:szCs w:val="32"/>
          <w:highlight w:val="none"/>
          <w:lang w:val="en-US" w:eastAsia="zh-CN"/>
        </w:rPr>
        <w:t>。</w:t>
      </w:r>
    </w:p>
    <w:p>
      <w:pPr>
        <w:pStyle w:val="14"/>
        <w:keepNext w:val="0"/>
        <w:keepLines w:val="0"/>
        <w:pageBreakBefore w:val="0"/>
        <w:widowControl w:val="0"/>
        <w:kinsoku/>
        <w:wordWrap/>
        <w:overflowPunct/>
        <w:topLinePunct w:val="0"/>
        <w:autoSpaceDE/>
        <w:autoSpaceDN/>
        <w:bidi w:val="0"/>
        <w:adjustRightInd/>
        <w:snapToGrid/>
        <w:spacing w:beforeAutospacing="0" w:afterAutospacing="0"/>
        <w:ind w:firstLine="640" w:firstLineChars="200"/>
        <w:textAlignment w:val="auto"/>
        <w:outlineLvl w:val="9"/>
        <w:rPr>
          <w:rFonts w:hint="eastAsia" w:ascii="黑体" w:hAnsi="黑体" w:eastAsia="黑体" w:cs="黑体"/>
          <w:sz w:val="32"/>
          <w:szCs w:val="32"/>
          <w:lang w:val="en-US" w:eastAsia="zh-CN"/>
        </w:rPr>
      </w:pPr>
      <w:bookmarkStart w:id="20" w:name="_Toc20659"/>
      <w:r>
        <w:rPr>
          <w:rFonts w:hint="eastAsia" w:ascii="黑体" w:hAnsi="黑体" w:eastAsia="黑体" w:cs="黑体"/>
          <w:sz w:val="32"/>
          <w:szCs w:val="32"/>
          <w:lang w:val="en-US" w:eastAsia="zh-CN"/>
        </w:rPr>
        <w:t>四、下一步改进建议</w:t>
      </w:r>
      <w:bookmarkEnd w:id="20"/>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楷体" w:hAnsi="楷体" w:eastAsia="楷体" w:cs="楷体"/>
          <w:b w:val="0"/>
          <w:bCs/>
          <w:color w:val="auto"/>
          <w:sz w:val="32"/>
          <w:szCs w:val="32"/>
          <w:highlight w:val="none"/>
          <w:lang w:val="en-US" w:eastAsia="zh-CN"/>
        </w:rPr>
      </w:pPr>
      <w:bookmarkStart w:id="21" w:name="_Toc21256"/>
      <w:r>
        <w:rPr>
          <w:rFonts w:hint="eastAsia" w:ascii="楷体" w:hAnsi="楷体" w:eastAsia="楷体" w:cs="楷体"/>
          <w:b w:val="0"/>
          <w:bCs/>
          <w:color w:val="auto"/>
          <w:sz w:val="32"/>
          <w:szCs w:val="32"/>
          <w:highlight w:val="none"/>
          <w:lang w:val="en-US" w:eastAsia="zh-CN"/>
        </w:rPr>
        <w:t>（一）提高部门预算编制精准度，降低预算调整率</w:t>
      </w:r>
      <w:bookmarkEnd w:id="21"/>
      <w:r>
        <w:rPr>
          <w:rFonts w:hint="eastAsia" w:ascii="楷体" w:hAnsi="楷体" w:eastAsia="楷体" w:cs="楷体"/>
          <w:b w:val="0"/>
          <w:bCs/>
          <w:color w:val="auto"/>
          <w:sz w:val="32"/>
          <w:szCs w:val="32"/>
          <w:highlight w:val="none"/>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640" w:firstLineChars="200"/>
        <w:jc w:val="left"/>
        <w:textAlignment w:val="auto"/>
        <w:outlineLvl w:val="9"/>
        <w:rPr>
          <w:rFonts w:hint="eastAsia" w:ascii="仿宋_GB2312" w:hAnsi="宋体" w:eastAsia="仿宋_GB2312" w:cs="仿宋_GB2312"/>
          <w:color w:val="000000"/>
          <w:kern w:val="0"/>
          <w:sz w:val="32"/>
          <w:szCs w:val="32"/>
          <w:lang w:val="en-US" w:eastAsia="zh-CN" w:bidi="ar"/>
        </w:rPr>
      </w:pPr>
      <w:r>
        <w:rPr>
          <w:rFonts w:hint="eastAsia" w:ascii="仿宋_GB2312" w:hAnsi="宋体" w:eastAsia="仿宋_GB2312" w:cs="仿宋_GB2312"/>
          <w:color w:val="000000"/>
          <w:kern w:val="0"/>
          <w:sz w:val="32"/>
          <w:szCs w:val="32"/>
          <w:lang w:val="en-US" w:eastAsia="zh-CN" w:bidi="ar"/>
        </w:rPr>
        <w:t>针对预算调整比例高的问题，建议汇通产业园事业服务中心从思想上高度重视预算编制工作，细化预算编制程序，增强预算编制的科学性、精准性，同时加强部门预算与决算的衔接，通过对部门基础信息、各类支出的整理和分析，以提高下一年度预算编制的科学性和准确性。</w:t>
      </w:r>
    </w:p>
    <w:p>
      <w:pPr>
        <w:pStyle w:val="23"/>
        <w:pageBreakBefore w:val="0"/>
        <w:numPr>
          <w:ilvl w:val="0"/>
          <w:numId w:val="0"/>
        </w:numPr>
        <w:kinsoku/>
        <w:wordWrap/>
        <w:overflowPunct/>
        <w:topLinePunct w:val="0"/>
        <w:autoSpaceDE/>
        <w:autoSpaceDN/>
        <w:bidi w:val="0"/>
        <w:adjustRightInd w:val="0"/>
        <w:snapToGrid/>
        <w:spacing w:line="360" w:lineRule="auto"/>
        <w:ind w:firstLine="600"/>
        <w:textAlignment w:val="auto"/>
        <w:outlineLvl w:val="9"/>
        <w:rPr>
          <w:rFonts w:hint="default" w:ascii="Times New Roman" w:hAnsi="Times New Roman" w:eastAsia="楷体_GB2312" w:cs="Times New Roman"/>
          <w:kern w:val="2"/>
          <w:sz w:val="32"/>
          <w:szCs w:val="32"/>
          <w:highlight w:val="none"/>
          <w:lang w:val="en-US" w:eastAsia="zh-CN" w:bidi="ar-SA"/>
        </w:rPr>
      </w:pPr>
      <w:bookmarkStart w:id="22" w:name="_Toc19389"/>
      <w:r>
        <w:rPr>
          <w:rFonts w:hint="default" w:ascii="Times New Roman" w:hAnsi="Times New Roman" w:eastAsia="楷体_GB2312" w:cs="Times New Roman"/>
          <w:kern w:val="2"/>
          <w:sz w:val="32"/>
          <w:szCs w:val="32"/>
          <w:highlight w:val="none"/>
          <w:lang w:val="en-US" w:eastAsia="zh-CN" w:bidi="ar-SA"/>
        </w:rPr>
        <w:t>（</w:t>
      </w:r>
      <w:r>
        <w:rPr>
          <w:rFonts w:hint="eastAsia" w:ascii="Times New Roman" w:hAnsi="Times New Roman" w:eastAsia="楷体_GB2312" w:cs="Times New Roman"/>
          <w:kern w:val="2"/>
          <w:sz w:val="32"/>
          <w:szCs w:val="32"/>
          <w:highlight w:val="none"/>
          <w:lang w:val="en-US" w:eastAsia="zh-CN" w:bidi="ar-SA"/>
        </w:rPr>
        <w:t>二</w:t>
      </w:r>
      <w:r>
        <w:rPr>
          <w:rFonts w:hint="default" w:ascii="Times New Roman" w:hAnsi="Times New Roman" w:eastAsia="楷体_GB2312" w:cs="Times New Roman"/>
          <w:kern w:val="2"/>
          <w:sz w:val="32"/>
          <w:szCs w:val="32"/>
          <w:highlight w:val="none"/>
          <w:lang w:val="en-US" w:eastAsia="zh-CN" w:bidi="ar-SA"/>
        </w:rPr>
        <w:t>）加强预算绩效管理认识，提高预算绩效管理水平</w:t>
      </w:r>
      <w:bookmarkEnd w:id="22"/>
    </w:p>
    <w:p>
      <w:pPr>
        <w:pStyle w:val="23"/>
        <w:pageBreakBefore w:val="0"/>
        <w:numPr>
          <w:ilvl w:val="0"/>
          <w:numId w:val="0"/>
        </w:numPr>
        <w:kinsoku/>
        <w:wordWrap/>
        <w:overflowPunct/>
        <w:topLinePunct w:val="0"/>
        <w:autoSpaceDE/>
        <w:autoSpaceDN/>
        <w:bidi w:val="0"/>
        <w:adjustRightInd w:val="0"/>
        <w:snapToGrid/>
        <w:spacing w:line="360" w:lineRule="auto"/>
        <w:ind w:firstLine="600"/>
        <w:textAlignment w:val="auto"/>
        <w:outlineLvl w:val="9"/>
        <w:rPr>
          <w:rFonts w:hint="default" w:ascii="Times New Roman" w:hAnsi="Times New Roman" w:eastAsia="仿宋_GB2312" w:cs="Times New Roman"/>
          <w:sz w:val="32"/>
          <w:szCs w:val="32"/>
          <w:lang w:val="en-US" w:eastAsia="zh-CN"/>
        </w:rPr>
      </w:pPr>
      <w:r>
        <w:rPr>
          <w:rFonts w:hint="default" w:ascii="Times New Roman" w:hAnsi="Times New Roman" w:eastAsia="仿宋_GB2312" w:cs="Times New Roman"/>
          <w:sz w:val="32"/>
          <w:szCs w:val="32"/>
          <w:highlight w:val="none"/>
          <w:lang w:val="en-US" w:eastAsia="zh-CN"/>
        </w:rPr>
        <w:t>通过对</w:t>
      </w:r>
      <w:r>
        <w:rPr>
          <w:rFonts w:hint="eastAsia" w:ascii="Times New Roman" w:hAnsi="Times New Roman" w:cs="Times New Roman"/>
          <w:sz w:val="32"/>
          <w:szCs w:val="21"/>
          <w:lang w:val="en-US" w:eastAsia="zh-CN"/>
        </w:rPr>
        <w:t>汇通产业园事业服务中心</w:t>
      </w:r>
      <w:r>
        <w:rPr>
          <w:rFonts w:hint="default" w:ascii="Times New Roman" w:hAnsi="Times New Roman" w:eastAsia="仿宋_GB2312" w:cs="Times New Roman"/>
          <w:sz w:val="32"/>
          <w:szCs w:val="32"/>
          <w:highlight w:val="none"/>
          <w:lang w:val="en-US" w:eastAsia="zh-CN"/>
        </w:rPr>
        <w:t>工作情况的了解，建议该部门</w:t>
      </w:r>
      <w:r>
        <w:rPr>
          <w:rFonts w:hint="default" w:ascii="Times New Roman" w:hAnsi="Times New Roman" w:cs="Times New Roman"/>
          <w:sz w:val="32"/>
          <w:szCs w:val="32"/>
          <w:highlight w:val="none"/>
          <w:lang w:val="en-US" w:eastAsia="zh-CN"/>
        </w:rPr>
        <w:t>一是成立预算绩效管理领导小组，负责本单位预算管理绩效管理相关工作，为预算绩效管理工作的有效开展提供了组织和人员保障。二是结合实际，制定本部门的预算绩效管理相关制度，明确预算绩效管理工作流程及要求等，不断提高绩效管理水平</w:t>
      </w:r>
      <w:r>
        <w:rPr>
          <w:rFonts w:hint="default"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lang w:val="en-US" w:eastAsia="zh-CN"/>
        </w:rPr>
        <w:t xml:space="preserve"> </w:t>
      </w:r>
    </w:p>
    <w:p>
      <w:pPr>
        <w:pStyle w:val="16"/>
        <w:ind w:left="0" w:leftChars="0" w:firstLine="640" w:firstLineChars="200"/>
        <w:outlineLvl w:val="9"/>
        <w:rPr>
          <w:rFonts w:hint="default" w:ascii="Times New Roman" w:hAnsi="Times New Roman" w:eastAsia="楷体_GB2312" w:cs="Times New Roman"/>
          <w:kern w:val="2"/>
          <w:sz w:val="32"/>
          <w:szCs w:val="32"/>
          <w:highlight w:val="none"/>
          <w:lang w:val="en-US" w:eastAsia="zh-CN" w:bidi="ar-SA"/>
        </w:rPr>
      </w:pPr>
      <w:bookmarkStart w:id="23" w:name="_Toc14315"/>
      <w:r>
        <w:rPr>
          <w:rFonts w:hint="default" w:ascii="Times New Roman" w:hAnsi="Times New Roman" w:eastAsia="楷体_GB2312" w:cs="Times New Roman"/>
          <w:kern w:val="2"/>
          <w:sz w:val="32"/>
          <w:szCs w:val="32"/>
          <w:highlight w:val="none"/>
          <w:lang w:val="en-US" w:eastAsia="zh-CN" w:bidi="ar-SA"/>
        </w:rPr>
        <w:t>（</w:t>
      </w:r>
      <w:r>
        <w:rPr>
          <w:rFonts w:hint="eastAsia" w:ascii="Times New Roman" w:hAnsi="Times New Roman" w:eastAsia="楷体_GB2312" w:cs="Times New Roman"/>
          <w:kern w:val="2"/>
          <w:sz w:val="32"/>
          <w:szCs w:val="32"/>
          <w:highlight w:val="none"/>
          <w:lang w:val="en-US" w:eastAsia="zh-CN" w:bidi="ar-SA"/>
        </w:rPr>
        <w:t>三</w:t>
      </w:r>
      <w:r>
        <w:rPr>
          <w:rFonts w:hint="default" w:ascii="Times New Roman" w:hAnsi="Times New Roman" w:eastAsia="楷体_GB2312" w:cs="Times New Roman"/>
          <w:kern w:val="2"/>
          <w:sz w:val="32"/>
          <w:szCs w:val="32"/>
          <w:highlight w:val="none"/>
          <w:lang w:val="en-US" w:eastAsia="zh-CN" w:bidi="ar-SA"/>
        </w:rPr>
        <w:t>）提高年度政府采购预算编制科学性</w:t>
      </w:r>
      <w:bookmarkEnd w:id="23"/>
    </w:p>
    <w:p>
      <w:pPr>
        <w:pStyle w:val="2"/>
        <w:ind w:firstLine="640" w:firstLineChars="200"/>
        <w:outlineLvl w:val="9"/>
        <w:rPr>
          <w:rFonts w:hint="default"/>
          <w:lang w:val="en-US" w:eastAsia="zh-CN"/>
        </w:rPr>
      </w:pPr>
      <w:r>
        <w:rPr>
          <w:rFonts w:hint="default" w:ascii="Times New Roman" w:hAnsi="Times New Roman" w:eastAsia="仿宋_GB2312" w:cs="Times New Roman"/>
          <w:sz w:val="32"/>
          <w:szCs w:val="32"/>
          <w:highlight w:val="none"/>
          <w:lang w:val="en-US" w:eastAsia="zh-CN"/>
        </w:rPr>
        <w:t>为提高</w:t>
      </w:r>
      <w:r>
        <w:rPr>
          <w:rFonts w:hint="eastAsia" w:ascii="Times New Roman" w:hAnsi="Times New Roman" w:eastAsia="仿宋_GB2312" w:cs="Times New Roman"/>
          <w:sz w:val="32"/>
          <w:szCs w:val="21"/>
          <w:lang w:val="en-US" w:eastAsia="zh-CN"/>
        </w:rPr>
        <w:t>汇通产业园事业服务中心</w:t>
      </w:r>
      <w:r>
        <w:rPr>
          <w:rFonts w:hint="default" w:ascii="Times New Roman" w:hAnsi="Times New Roman" w:eastAsia="仿宋_GB2312" w:cs="Times New Roman"/>
          <w:sz w:val="32"/>
          <w:szCs w:val="32"/>
          <w:highlight w:val="none"/>
          <w:lang w:val="en-US" w:eastAsia="zh-CN"/>
        </w:rPr>
        <w:t>下一年度政府采购预算编制工作的科学性，建议</w:t>
      </w:r>
      <w:r>
        <w:rPr>
          <w:rFonts w:hint="default" w:ascii="Times New Roman" w:hAnsi="Times New Roman" w:eastAsia="仿宋_GB2312" w:cs="Times New Roman"/>
          <w:b w:val="0"/>
          <w:bCs w:val="0"/>
          <w:sz w:val="32"/>
          <w:szCs w:val="32"/>
          <w:highlight w:val="none"/>
          <w:lang w:val="en-US" w:eastAsia="zh-CN"/>
        </w:rPr>
        <w:t>一是</w:t>
      </w:r>
      <w:r>
        <w:rPr>
          <w:rFonts w:hint="default" w:ascii="Times New Roman" w:hAnsi="Times New Roman" w:eastAsia="仿宋_GB2312" w:cs="Times New Roman"/>
          <w:sz w:val="32"/>
          <w:szCs w:val="32"/>
          <w:highlight w:val="none"/>
          <w:lang w:val="en-US" w:eastAsia="zh-CN"/>
        </w:rPr>
        <w:t>提高认识，增强意识。</w:t>
      </w:r>
      <w:r>
        <w:rPr>
          <w:rFonts w:hint="eastAsia" w:ascii="Times New Roman" w:hAnsi="Times New Roman" w:eastAsia="仿宋_GB2312" w:cs="Times New Roman"/>
          <w:sz w:val="32"/>
          <w:szCs w:val="21"/>
          <w:lang w:val="en-US" w:eastAsia="zh-CN"/>
        </w:rPr>
        <w:t>汇通产业园事业服务中心</w:t>
      </w:r>
      <w:r>
        <w:rPr>
          <w:rFonts w:hint="default" w:ascii="Times New Roman" w:hAnsi="Times New Roman" w:eastAsia="仿宋_GB2312" w:cs="Times New Roman"/>
          <w:sz w:val="32"/>
          <w:szCs w:val="21"/>
          <w:lang w:val="en-US" w:eastAsia="zh-CN"/>
        </w:rPr>
        <w:t>预算编制人员</w:t>
      </w:r>
      <w:r>
        <w:rPr>
          <w:rFonts w:hint="default" w:ascii="Times New Roman" w:hAnsi="Times New Roman" w:eastAsia="仿宋_GB2312" w:cs="Times New Roman"/>
          <w:sz w:val="32"/>
          <w:szCs w:val="32"/>
          <w:highlight w:val="none"/>
          <w:lang w:val="en-US" w:eastAsia="zh-CN"/>
        </w:rPr>
        <w:t>要提高对政府采购预算编制工作重要性的认识，理解编报工作的有关政策、规则、程序和方法，熟悉政府采购目录，正确领会编制预算的有关要求；</w:t>
      </w:r>
      <w:r>
        <w:rPr>
          <w:rFonts w:hint="default" w:ascii="Times New Roman" w:hAnsi="Times New Roman" w:eastAsia="仿宋_GB2312" w:cs="Times New Roman"/>
          <w:b w:val="0"/>
          <w:bCs w:val="0"/>
          <w:sz w:val="32"/>
          <w:szCs w:val="32"/>
          <w:highlight w:val="none"/>
          <w:lang w:val="en-US" w:eastAsia="zh-CN"/>
        </w:rPr>
        <w:t>二是</w:t>
      </w:r>
      <w:r>
        <w:rPr>
          <w:rFonts w:hint="default" w:ascii="Times New Roman" w:hAnsi="Times New Roman" w:eastAsia="仿宋_GB2312" w:cs="Times New Roman"/>
          <w:sz w:val="32"/>
          <w:szCs w:val="32"/>
          <w:highlight w:val="none"/>
          <w:lang w:val="en-US" w:eastAsia="zh-CN"/>
        </w:rPr>
        <w:t>完善机制，自觉执行。</w:t>
      </w:r>
      <w:r>
        <w:rPr>
          <w:rFonts w:hint="eastAsia" w:ascii="Times New Roman" w:hAnsi="Times New Roman" w:eastAsia="仿宋_GB2312" w:cs="Times New Roman"/>
          <w:sz w:val="32"/>
          <w:szCs w:val="21"/>
          <w:lang w:val="en-US" w:eastAsia="zh-CN"/>
        </w:rPr>
        <w:t>汇通产业园事业服务中心</w:t>
      </w:r>
      <w:r>
        <w:rPr>
          <w:rFonts w:hint="default" w:ascii="Times New Roman" w:hAnsi="Times New Roman" w:eastAsia="仿宋_GB2312" w:cs="Times New Roman"/>
          <w:sz w:val="32"/>
          <w:szCs w:val="32"/>
          <w:highlight w:val="none"/>
          <w:lang w:val="en-US" w:eastAsia="zh-CN"/>
        </w:rPr>
        <w:t>应当依据《预算法</w:t>
      </w:r>
      <w:r>
        <w:rPr>
          <w:rFonts w:hint="eastAsia" w:ascii="Times New Roman" w:hAnsi="Times New Roman" w:eastAsia="仿宋_GB2312" w:cs="Times New Roman"/>
          <w:sz w:val="32"/>
          <w:szCs w:val="32"/>
          <w:highlight w:val="none"/>
          <w:lang w:val="en-US" w:eastAsia="zh-CN"/>
        </w:rPr>
        <w:t>》《</w:t>
      </w:r>
      <w:r>
        <w:rPr>
          <w:rFonts w:hint="default" w:ascii="Times New Roman" w:hAnsi="Times New Roman" w:eastAsia="仿宋_GB2312" w:cs="Times New Roman"/>
          <w:sz w:val="32"/>
          <w:szCs w:val="32"/>
          <w:highlight w:val="none"/>
          <w:lang w:val="en-US" w:eastAsia="zh-CN"/>
        </w:rPr>
        <w:t>政府采购法》等有关规定，细化完善本单位政府采购管理办法及实施细则，明确政府采购预算编制的要求，严格遵守、自觉执行，使本单位政府采购行为更加规范、有序，有据可查，从而加强政府采购从预算源头管控和执行的规范操作，实现源头、过程、结果的协调一致。</w:t>
      </w:r>
      <w:bookmarkStart w:id="24" w:name="_GoBack"/>
      <w:bookmarkEnd w:id="24"/>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1"/>
    <w:family w:val="roma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_GB2312">
    <w:panose1 w:val="02010609030101010101"/>
    <w:charset w:val="86"/>
    <w:family w:val="auto"/>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0" name="文本框 10"/>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CpqK+VMQIAAGMEAAAOAAAAAAAAAAEAIAAAAB8BAABkcnMvZTJvRG9jLnhtbFBLBQYA&#10;AAAABgAGAFkBAADCBQAAAAA=&#10;">
              <v:fill on="f" focussize="0,0"/>
              <v:stroke on="f" weight="0.5pt"/>
              <v:imagedata o:title=""/>
              <o:lock v:ext="edit" aspectratio="f"/>
              <v:textbox inset="0mm,0mm,0mm,0mm" style="mso-fit-shape-to-text:t;">
                <w:txbxContent>
                  <w:p>
                    <w:pPr>
                      <w:pStyle w:val="10"/>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fldChar w:fldCharType="begin"/>
                    </w:r>
                    <w:r>
                      <w:rPr>
                        <w:rFonts w:hint="eastAsia" w:ascii="仿宋_GB2312" w:hAnsi="仿宋_GB2312" w:eastAsia="仿宋_GB2312" w:cs="仿宋_GB2312"/>
                        <w:sz w:val="28"/>
                        <w:szCs w:val="28"/>
                      </w:rPr>
                      <w:instrText xml:space="preserve"> PAGE  \* MERGEFORMAT </w:instrText>
                    </w:r>
                    <w:r>
                      <w:rPr>
                        <w:rFonts w:hint="eastAsia" w:ascii="仿宋_GB2312" w:hAnsi="仿宋_GB2312" w:eastAsia="仿宋_GB2312" w:cs="仿宋_GB2312"/>
                        <w:sz w:val="28"/>
                        <w:szCs w:val="28"/>
                      </w:rPr>
                      <w:fldChar w:fldCharType="separate"/>
                    </w:r>
                    <w:r>
                      <w:rPr>
                        <w:rFonts w:hint="eastAsia" w:ascii="仿宋_GB2312" w:hAnsi="仿宋_GB2312" w:eastAsia="仿宋_GB2312" w:cs="仿宋_GB2312"/>
                        <w:sz w:val="28"/>
                        <w:szCs w:val="28"/>
                      </w:rPr>
                      <w:t>3</w:t>
                    </w:r>
                    <w:r>
                      <w:rPr>
                        <w:rFonts w:hint="eastAsia" w:ascii="仿宋_GB2312" w:hAnsi="仿宋_GB2312" w:eastAsia="仿宋_GB2312" w:cs="仿宋_GB2312"/>
                        <w:sz w:val="28"/>
                        <w:szCs w:val="2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ViOWEwOWVlOGEzMWU2NDE1NjdhZmI2ZWI1YzIxZDAifQ=="/>
  </w:docVars>
  <w:rsids>
    <w:rsidRoot w:val="00000000"/>
    <w:rsid w:val="02A23B38"/>
    <w:rsid w:val="03BC3F4F"/>
    <w:rsid w:val="03E42FB5"/>
    <w:rsid w:val="04D77568"/>
    <w:rsid w:val="06CD2134"/>
    <w:rsid w:val="0E2E169D"/>
    <w:rsid w:val="0F60286C"/>
    <w:rsid w:val="0FF65476"/>
    <w:rsid w:val="104B5FBE"/>
    <w:rsid w:val="1120411F"/>
    <w:rsid w:val="114527DF"/>
    <w:rsid w:val="139744B1"/>
    <w:rsid w:val="14E638C4"/>
    <w:rsid w:val="15B61C17"/>
    <w:rsid w:val="15BB3260"/>
    <w:rsid w:val="161C0D22"/>
    <w:rsid w:val="19FE30F8"/>
    <w:rsid w:val="1A766595"/>
    <w:rsid w:val="1ACB5899"/>
    <w:rsid w:val="1B612DA1"/>
    <w:rsid w:val="1B6240CF"/>
    <w:rsid w:val="1D7F02DA"/>
    <w:rsid w:val="1E3D5039"/>
    <w:rsid w:val="1E4F1605"/>
    <w:rsid w:val="1F0028D1"/>
    <w:rsid w:val="1FA3607E"/>
    <w:rsid w:val="22945E89"/>
    <w:rsid w:val="22B702B1"/>
    <w:rsid w:val="233319EC"/>
    <w:rsid w:val="23864512"/>
    <w:rsid w:val="258841B6"/>
    <w:rsid w:val="269A72B0"/>
    <w:rsid w:val="27D951A6"/>
    <w:rsid w:val="27F27236"/>
    <w:rsid w:val="28B5472C"/>
    <w:rsid w:val="297403CD"/>
    <w:rsid w:val="2A67611A"/>
    <w:rsid w:val="2BBB1EAB"/>
    <w:rsid w:val="2D931734"/>
    <w:rsid w:val="303168A8"/>
    <w:rsid w:val="308F3145"/>
    <w:rsid w:val="325B02B2"/>
    <w:rsid w:val="32C1255A"/>
    <w:rsid w:val="335C65CE"/>
    <w:rsid w:val="34974E28"/>
    <w:rsid w:val="36ED5A1B"/>
    <w:rsid w:val="373C5D85"/>
    <w:rsid w:val="385F1F77"/>
    <w:rsid w:val="38F80D91"/>
    <w:rsid w:val="398E783A"/>
    <w:rsid w:val="39AF02DA"/>
    <w:rsid w:val="3A775CE5"/>
    <w:rsid w:val="3E0205D3"/>
    <w:rsid w:val="3E9A79A2"/>
    <w:rsid w:val="3EAD3EF1"/>
    <w:rsid w:val="3ECC6D7D"/>
    <w:rsid w:val="40E83E7B"/>
    <w:rsid w:val="44586B88"/>
    <w:rsid w:val="44B73790"/>
    <w:rsid w:val="456A22CE"/>
    <w:rsid w:val="46E01544"/>
    <w:rsid w:val="47677762"/>
    <w:rsid w:val="47F67DC6"/>
    <w:rsid w:val="48C62279"/>
    <w:rsid w:val="4A320488"/>
    <w:rsid w:val="4B3E5FF3"/>
    <w:rsid w:val="4B7318F9"/>
    <w:rsid w:val="4C7A482A"/>
    <w:rsid w:val="4F320C8A"/>
    <w:rsid w:val="50193936"/>
    <w:rsid w:val="51751731"/>
    <w:rsid w:val="51D33A52"/>
    <w:rsid w:val="51EA67AE"/>
    <w:rsid w:val="52B03D9A"/>
    <w:rsid w:val="53A414A2"/>
    <w:rsid w:val="58843743"/>
    <w:rsid w:val="5ADA4527"/>
    <w:rsid w:val="5AE0446B"/>
    <w:rsid w:val="5C773175"/>
    <w:rsid w:val="5CC62C23"/>
    <w:rsid w:val="5D363331"/>
    <w:rsid w:val="5F036C0C"/>
    <w:rsid w:val="61682DDC"/>
    <w:rsid w:val="620078E1"/>
    <w:rsid w:val="62B8788D"/>
    <w:rsid w:val="63D10066"/>
    <w:rsid w:val="696465F8"/>
    <w:rsid w:val="6971774E"/>
    <w:rsid w:val="6BBA0BC3"/>
    <w:rsid w:val="6C116A2A"/>
    <w:rsid w:val="6C9718F9"/>
    <w:rsid w:val="6CC44897"/>
    <w:rsid w:val="6EBF246D"/>
    <w:rsid w:val="70707796"/>
    <w:rsid w:val="714905BC"/>
    <w:rsid w:val="714B22F9"/>
    <w:rsid w:val="71573B9F"/>
    <w:rsid w:val="73F751C6"/>
    <w:rsid w:val="75C86E1A"/>
    <w:rsid w:val="77C11D73"/>
    <w:rsid w:val="7AB7457E"/>
    <w:rsid w:val="7DD4547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2"/>
    <w:basedOn w:val="1"/>
    <w:next w:val="1"/>
    <w:autoRedefine/>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paragraph" w:styleId="4">
    <w:name w:val="heading 4"/>
    <w:basedOn w:val="1"/>
    <w:next w:val="1"/>
    <w:autoRedefine/>
    <w:qFormat/>
    <w:uiPriority w:val="0"/>
    <w:pPr>
      <w:keepNext/>
      <w:keepLines/>
      <w:spacing w:before="280" w:after="290" w:line="376" w:lineRule="atLeast"/>
      <w:outlineLvl w:val="3"/>
    </w:pPr>
    <w:rPr>
      <w:rFonts w:ascii="Arial" w:hAnsi="Arial" w:eastAsia="黑体"/>
      <w:b/>
      <w:sz w:val="28"/>
    </w:rPr>
  </w:style>
  <w:style w:type="character" w:default="1" w:styleId="18">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w:basedOn w:val="1"/>
    <w:next w:val="1"/>
    <w:autoRedefine/>
    <w:unhideWhenUsed/>
    <w:qFormat/>
    <w:uiPriority w:val="0"/>
    <w:pPr>
      <w:spacing w:after="120"/>
    </w:pPr>
  </w:style>
  <w:style w:type="paragraph" w:styleId="5">
    <w:name w:val="Normal Indent"/>
    <w:basedOn w:val="1"/>
    <w:qFormat/>
    <w:uiPriority w:val="0"/>
    <w:pPr>
      <w:suppressAutoHyphens/>
      <w:ind w:firstLine="420" w:firstLineChars="200"/>
    </w:pPr>
    <w:rPr>
      <w:szCs w:val="24"/>
    </w:rPr>
  </w:style>
  <w:style w:type="paragraph" w:styleId="6">
    <w:name w:val="caption"/>
    <w:basedOn w:val="1"/>
    <w:next w:val="1"/>
    <w:autoRedefine/>
    <w:qFormat/>
    <w:uiPriority w:val="0"/>
    <w:rPr>
      <w:rFonts w:ascii="Cambria" w:hAnsi="Cambria" w:eastAsia="黑体"/>
      <w:sz w:val="20"/>
    </w:rPr>
  </w:style>
  <w:style w:type="paragraph" w:styleId="7">
    <w:name w:val="toa heading"/>
    <w:basedOn w:val="1"/>
    <w:next w:val="1"/>
    <w:qFormat/>
    <w:uiPriority w:val="0"/>
    <w:pPr>
      <w:spacing w:before="120"/>
    </w:pPr>
    <w:rPr>
      <w:rFonts w:ascii="Arial" w:hAnsi="Arial" w:cs="Arial"/>
      <w:sz w:val="24"/>
    </w:rPr>
  </w:style>
  <w:style w:type="paragraph" w:styleId="8">
    <w:name w:val="annotation text"/>
    <w:basedOn w:val="1"/>
    <w:autoRedefine/>
    <w:qFormat/>
    <w:uiPriority w:val="0"/>
    <w:pPr>
      <w:jc w:val="left"/>
    </w:pPr>
  </w:style>
  <w:style w:type="paragraph" w:styleId="9">
    <w:name w:val="Body Text Indent"/>
    <w:basedOn w:val="1"/>
    <w:qFormat/>
    <w:uiPriority w:val="0"/>
    <w:pPr>
      <w:spacing w:line="540" w:lineRule="exact"/>
      <w:ind w:firstLine="600"/>
    </w:pPr>
    <w:rPr>
      <w:rFonts w:eastAsia="仿宋_GB2312"/>
      <w:sz w:val="30"/>
    </w:rPr>
  </w:style>
  <w:style w:type="paragraph" w:styleId="10">
    <w:name w:val="footer"/>
    <w:basedOn w:val="1"/>
    <w:qFormat/>
    <w:uiPriority w:val="99"/>
    <w:pPr>
      <w:tabs>
        <w:tab w:val="center" w:pos="4153"/>
        <w:tab w:val="right" w:pos="8306"/>
      </w:tabs>
      <w:snapToGrid w:val="0"/>
      <w:jc w:val="left"/>
    </w:pPr>
    <w:rPr>
      <w:sz w:val="18"/>
    </w:rPr>
  </w:style>
  <w:style w:type="paragraph" w:styleId="11">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2">
    <w:name w:val="toc 1"/>
    <w:basedOn w:val="1"/>
    <w:next w:val="1"/>
    <w:autoRedefine/>
    <w:qFormat/>
    <w:uiPriority w:val="0"/>
  </w:style>
  <w:style w:type="paragraph" w:styleId="13">
    <w:name w:val="toc 2"/>
    <w:basedOn w:val="1"/>
    <w:next w:val="1"/>
    <w:autoRedefine/>
    <w:qFormat/>
    <w:uiPriority w:val="0"/>
    <w:pPr>
      <w:ind w:left="420" w:leftChars="200"/>
    </w:pPr>
  </w:style>
  <w:style w:type="paragraph" w:styleId="14">
    <w:name w:val="Normal (Web)"/>
    <w:basedOn w:val="1"/>
    <w:next w:val="1"/>
    <w:autoRedefine/>
    <w:unhideWhenUsed/>
    <w:qFormat/>
    <w:uiPriority w:val="99"/>
    <w:rPr>
      <w:rFonts w:ascii="Times New Roman" w:hAnsi="Times New Roman" w:eastAsia="宋体" w:cs="Times New Roman"/>
      <w:sz w:val="24"/>
      <w:szCs w:val="24"/>
    </w:rPr>
  </w:style>
  <w:style w:type="paragraph" w:styleId="15">
    <w:name w:val="Body Text First Indent"/>
    <w:basedOn w:val="2"/>
    <w:next w:val="16"/>
    <w:autoRedefine/>
    <w:qFormat/>
    <w:uiPriority w:val="0"/>
    <w:pPr>
      <w:ind w:firstLine="420" w:firstLineChars="100"/>
    </w:pPr>
    <w:rPr>
      <w:rFonts w:eastAsia="楷体_GB2312" w:cs="Times New Roman"/>
    </w:rPr>
  </w:style>
  <w:style w:type="paragraph" w:styleId="16">
    <w:name w:val="Body Text First Indent 2"/>
    <w:basedOn w:val="9"/>
    <w:autoRedefine/>
    <w:qFormat/>
    <w:uiPriority w:val="0"/>
    <w:pPr>
      <w:ind w:firstLine="420" w:firstLineChars="200"/>
    </w:pPr>
  </w:style>
  <w:style w:type="character" w:styleId="19">
    <w:name w:val="Strong"/>
    <w:basedOn w:val="18"/>
    <w:autoRedefine/>
    <w:qFormat/>
    <w:uiPriority w:val="0"/>
    <w:rPr>
      <w:b/>
    </w:rPr>
  </w:style>
  <w:style w:type="paragraph" w:customStyle="1" w:styleId="20">
    <w:name w:val="正文首行缩进 21"/>
    <w:basedOn w:val="21"/>
    <w:next w:val="14"/>
    <w:autoRedefine/>
    <w:qFormat/>
    <w:uiPriority w:val="99"/>
    <w:pPr>
      <w:ind w:left="200" w:leftChars="200" w:firstLine="200" w:firstLineChars="200"/>
    </w:pPr>
    <w:rPr>
      <w:rFonts w:ascii="Calibri" w:hAnsi="Calibri" w:eastAsia="宋体" w:cs="Times New Roman"/>
    </w:rPr>
  </w:style>
  <w:style w:type="paragraph" w:customStyle="1" w:styleId="21">
    <w:name w:val="正文文本缩进1"/>
    <w:basedOn w:val="1"/>
    <w:autoRedefine/>
    <w:qFormat/>
    <w:uiPriority w:val="99"/>
    <w:pPr>
      <w:ind w:left="200" w:leftChars="200"/>
    </w:pPr>
  </w:style>
  <w:style w:type="paragraph" w:customStyle="1" w:styleId="22">
    <w:name w:val="闻政标题5"/>
    <w:basedOn w:val="1"/>
    <w:qFormat/>
    <w:uiPriority w:val="0"/>
    <w:pPr>
      <w:suppressAutoHyphens/>
      <w:spacing w:before="120" w:after="60" w:line="500" w:lineRule="exact"/>
      <w:ind w:firstLine="200" w:firstLineChars="200"/>
    </w:pPr>
    <w:rPr>
      <w:b/>
      <w:kern w:val="0"/>
      <w:szCs w:val="28"/>
    </w:rPr>
  </w:style>
  <w:style w:type="paragraph" w:customStyle="1" w:styleId="23">
    <w:name w:val="闻政正文"/>
    <w:basedOn w:val="1"/>
    <w:qFormat/>
    <w:uiPriority w:val="0"/>
    <w:pPr>
      <w:spacing w:line="500" w:lineRule="exact"/>
      <w:ind w:firstLine="560" w:firstLineChars="200"/>
    </w:pPr>
    <w:rPr>
      <w:rFonts w:ascii="Times New Roman" w:hAnsi="Times New Roman" w:eastAsia="仿宋_GB2312"/>
      <w:kern w:val="0"/>
      <w:sz w:val="28"/>
      <w:szCs w:val="28"/>
    </w:rPr>
  </w:style>
  <w:style w:type="character" w:customStyle="1" w:styleId="24">
    <w:name w:val="font31"/>
    <w:basedOn w:val="18"/>
    <w:autoRedefine/>
    <w:qFormat/>
    <w:uiPriority w:val="0"/>
    <w:rPr>
      <w:rFonts w:hint="eastAsia" w:ascii="宋体" w:hAnsi="宋体" w:eastAsia="宋体" w:cs="宋体"/>
      <w:color w:val="000000"/>
      <w:sz w:val="24"/>
      <w:szCs w:val="24"/>
      <w:u w:val="none"/>
    </w:rPr>
  </w:style>
  <w:style w:type="character" w:customStyle="1" w:styleId="25">
    <w:name w:val="font41"/>
    <w:basedOn w:val="18"/>
    <w:qFormat/>
    <w:uiPriority w:val="0"/>
    <w:rPr>
      <w:rFonts w:hint="default" w:ascii="Times New Roman" w:hAnsi="Times New Roman" w:cs="Times New Roman"/>
      <w:b/>
      <w:bCs/>
      <w:color w:val="000000"/>
      <w:sz w:val="20"/>
      <w:szCs w:val="20"/>
      <w:u w:val="none"/>
    </w:rPr>
  </w:style>
  <w:style w:type="paragraph" w:customStyle="1" w:styleId="26">
    <w:name w:val="闻政标题6"/>
    <w:basedOn w:val="1"/>
    <w:qFormat/>
    <w:uiPriority w:val="0"/>
    <w:pPr>
      <w:spacing w:before="120" w:after="60" w:line="500" w:lineRule="exact"/>
      <w:ind w:firstLine="200" w:firstLineChars="200"/>
    </w:pPr>
    <w:rPr>
      <w:rFonts w:ascii="Times New Roman" w:hAnsi="Times New Roman" w:eastAsia="仿宋_GB2312"/>
      <w:b/>
      <w:kern w:val="0"/>
      <w:sz w:val="28"/>
      <w:szCs w:val="28"/>
    </w:rPr>
  </w:style>
  <w:style w:type="paragraph" w:customStyle="1" w:styleId="27">
    <w:name w:val="闻政表"/>
    <w:basedOn w:val="1"/>
    <w:qFormat/>
    <w:uiPriority w:val="0"/>
    <w:pPr>
      <w:spacing w:before="60" w:after="60"/>
      <w:jc w:val="center"/>
    </w:pPr>
    <w:rPr>
      <w:rFonts w:ascii="Times New Roman" w:hAnsi="Times New Roman" w:eastAsia="仿宋_GB2312"/>
      <w:b/>
      <w:kern w:val="0"/>
      <w:sz w:val="24"/>
      <w:szCs w:val="28"/>
    </w:rPr>
  </w:style>
  <w:style w:type="paragraph" w:customStyle="1" w:styleId="28">
    <w:name w:val="列出段落1"/>
    <w:basedOn w:val="1"/>
    <w:qFormat/>
    <w:uiPriority w:val="34"/>
    <w:pPr>
      <w:ind w:firstLine="420" w:firstLineChars="200"/>
    </w:pPr>
    <w:rPr>
      <w:rFonts w:ascii="Calibri" w:hAnsi="Calibri"/>
    </w:rPr>
  </w:style>
  <w:style w:type="paragraph" w:customStyle="1" w:styleId="29">
    <w:name w:val="WPSOffice手动目录 1"/>
    <w:qFormat/>
    <w:uiPriority w:val="0"/>
    <w:pPr>
      <w:ind w:leftChars="0"/>
    </w:pPr>
    <w:rPr>
      <w:rFonts w:ascii="Times New Roman" w:hAnsi="Times New Roman" w:eastAsia="宋体" w:cs="Times New Roman"/>
      <w:sz w:val="20"/>
      <w:szCs w:val="20"/>
    </w:rPr>
  </w:style>
  <w:style w:type="paragraph" w:customStyle="1" w:styleId="30">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2023-10-08T10:56:00Z</dcterms:created>
  <dc:creator>think</dc:creator>
  <cp:lastModifiedBy>Administrator</cp:lastModifiedBy>
  <dcterms:modified xsi:type="dcterms:W3CDTF">2023-12-20T01:40:16Z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CC157ADFB09C4B34B4F3E15C085525A7_12</vt:lpwstr>
  </property>
</Properties>
</file>